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C7EDA" w14:textId="77777777" w:rsidR="004B668B" w:rsidRPr="00197296" w:rsidRDefault="004753F9" w:rsidP="004B668B">
      <w:pPr>
        <w:numPr>
          <w:ilvl w:val="0"/>
          <w:numId w:val="3"/>
        </w:numPr>
        <w:rPr>
          <w:rFonts w:ascii="AZGCaspariT" w:hAnsi="AZGCaspariT"/>
          <w:b/>
          <w:sz w:val="22"/>
          <w:szCs w:val="22"/>
        </w:rPr>
      </w:pPr>
      <w:r w:rsidRPr="00197296">
        <w:rPr>
          <w:rFonts w:ascii="AZGCaspariT" w:hAnsi="AZGCaspariT"/>
          <w:b/>
          <w:sz w:val="22"/>
          <w:szCs w:val="22"/>
        </w:rPr>
        <w:t>Titel</w:t>
      </w:r>
      <w:r w:rsidR="004B668B" w:rsidRPr="00197296">
        <w:rPr>
          <w:rFonts w:ascii="AZGCaspariT" w:hAnsi="AZGCaspariT"/>
          <w:b/>
          <w:sz w:val="22"/>
          <w:szCs w:val="22"/>
        </w:rPr>
        <w:t xml:space="preserve"> </w:t>
      </w:r>
    </w:p>
    <w:p w14:paraId="6C1B3959" w14:textId="77777777" w:rsidR="004B668B" w:rsidRPr="00197296" w:rsidRDefault="00A86A4F" w:rsidP="004B668B">
      <w:pPr>
        <w:ind w:left="360"/>
        <w:rPr>
          <w:rFonts w:ascii="AZGCaspariT" w:hAnsi="AZGCaspariT"/>
          <w:b/>
          <w:sz w:val="22"/>
          <w:szCs w:val="22"/>
        </w:rPr>
      </w:pPr>
      <w:proofErr w:type="spellStart"/>
      <w:r>
        <w:rPr>
          <w:rFonts w:ascii="AZGCaspariT" w:hAnsi="AZGCaspariT"/>
          <w:b/>
          <w:sz w:val="22"/>
          <w:szCs w:val="22"/>
        </w:rPr>
        <w:t>In</w:t>
      </w:r>
      <w:r w:rsidR="00483007">
        <w:rPr>
          <w:rFonts w:ascii="AZGCaspariT" w:hAnsi="AZGCaspariT"/>
          <w:b/>
          <w:sz w:val="22"/>
          <w:szCs w:val="22"/>
        </w:rPr>
        <w:t>keur</w:t>
      </w:r>
      <w:r>
        <w:rPr>
          <w:rFonts w:ascii="AZGCaspariT" w:hAnsi="AZGCaspariT"/>
          <w:b/>
          <w:sz w:val="22"/>
          <w:szCs w:val="22"/>
        </w:rPr>
        <w:t>e</w:t>
      </w:r>
      <w:r w:rsidR="00483007">
        <w:rPr>
          <w:rFonts w:ascii="AZGCaspariT" w:hAnsi="AZGCaspariT"/>
          <w:b/>
          <w:sz w:val="22"/>
          <w:szCs w:val="22"/>
        </w:rPr>
        <w:t>n</w:t>
      </w:r>
      <w:proofErr w:type="spellEnd"/>
      <w:r w:rsidR="00483007">
        <w:rPr>
          <w:rFonts w:ascii="AZGCaspariT" w:hAnsi="AZGCaspariT"/>
          <w:b/>
          <w:sz w:val="22"/>
          <w:szCs w:val="22"/>
        </w:rPr>
        <w:t xml:space="preserve"> </w:t>
      </w:r>
      <w:r>
        <w:rPr>
          <w:rFonts w:ascii="AZGCaspariT" w:hAnsi="AZGCaspariT"/>
          <w:b/>
          <w:sz w:val="22"/>
          <w:szCs w:val="22"/>
        </w:rPr>
        <w:t xml:space="preserve">autologe en allogene donor </w:t>
      </w:r>
      <w:r w:rsidR="00483007">
        <w:rPr>
          <w:rFonts w:ascii="AZGCaspariT" w:hAnsi="AZGCaspariT"/>
          <w:b/>
          <w:sz w:val="22"/>
          <w:szCs w:val="22"/>
        </w:rPr>
        <w:t>voor start aferese</w:t>
      </w:r>
    </w:p>
    <w:p w14:paraId="6B740876" w14:textId="77777777" w:rsidR="004B668B" w:rsidRPr="00197296" w:rsidRDefault="004B668B" w:rsidP="004B668B">
      <w:pPr>
        <w:ind w:left="360"/>
        <w:rPr>
          <w:rFonts w:ascii="AZGCaspariT" w:hAnsi="AZGCaspariT"/>
          <w:b/>
          <w:sz w:val="22"/>
          <w:szCs w:val="22"/>
        </w:rPr>
      </w:pPr>
    </w:p>
    <w:p w14:paraId="5D757DE4" w14:textId="77777777" w:rsidR="004753F9" w:rsidRPr="00197296" w:rsidRDefault="004753F9" w:rsidP="000F35DE">
      <w:pPr>
        <w:numPr>
          <w:ilvl w:val="0"/>
          <w:numId w:val="3"/>
        </w:numPr>
        <w:rPr>
          <w:rFonts w:ascii="AZGCaspariT" w:hAnsi="AZGCaspariT"/>
          <w:b/>
          <w:sz w:val="22"/>
          <w:szCs w:val="22"/>
        </w:rPr>
      </w:pPr>
      <w:r w:rsidRPr="00197296">
        <w:rPr>
          <w:rFonts w:ascii="AZGCaspariT" w:hAnsi="AZGCaspariT"/>
          <w:b/>
          <w:sz w:val="22"/>
          <w:szCs w:val="22"/>
        </w:rPr>
        <w:t>Auteur</w:t>
      </w:r>
      <w:r w:rsidR="00967A5A">
        <w:rPr>
          <w:rFonts w:ascii="AZGCaspariT" w:hAnsi="AZGCaspariT"/>
          <w:b/>
          <w:sz w:val="22"/>
          <w:szCs w:val="22"/>
        </w:rPr>
        <w:t>s</w:t>
      </w:r>
    </w:p>
    <w:p w14:paraId="7F6B8ABC" w14:textId="77777777" w:rsidR="004753F9" w:rsidRPr="00197296" w:rsidRDefault="004753F9" w:rsidP="000F35DE">
      <w:pPr>
        <w:ind w:left="360"/>
        <w:rPr>
          <w:rFonts w:ascii="AZGCaspariT" w:hAnsi="AZGCaspariT"/>
          <w:sz w:val="22"/>
          <w:szCs w:val="22"/>
        </w:rPr>
      </w:pPr>
      <w:r w:rsidRPr="00197296">
        <w:rPr>
          <w:rFonts w:ascii="AZGCaspariT" w:hAnsi="AZGCaspariT"/>
          <w:sz w:val="22"/>
          <w:szCs w:val="22"/>
        </w:rPr>
        <w:t xml:space="preserve">Auteur: </w:t>
      </w:r>
      <w:r w:rsidR="00395E1B" w:rsidRPr="00197296">
        <w:rPr>
          <w:rFonts w:ascii="AZGCaspariT" w:hAnsi="AZGCaspariT"/>
          <w:sz w:val="22"/>
          <w:szCs w:val="22"/>
        </w:rPr>
        <w:t xml:space="preserve">dr. </w:t>
      </w:r>
      <w:r w:rsidR="00967A5A">
        <w:rPr>
          <w:rFonts w:ascii="AZGCaspariT" w:hAnsi="AZGCaspariT"/>
          <w:sz w:val="22"/>
          <w:szCs w:val="22"/>
        </w:rPr>
        <w:t xml:space="preserve">M.R. de Groot, dr. A.B.U. </w:t>
      </w:r>
      <w:proofErr w:type="spellStart"/>
      <w:r w:rsidR="00967A5A">
        <w:rPr>
          <w:rFonts w:ascii="AZGCaspariT" w:hAnsi="AZGCaspariT"/>
          <w:sz w:val="22"/>
          <w:szCs w:val="22"/>
        </w:rPr>
        <w:t>Mäkelburg</w:t>
      </w:r>
      <w:proofErr w:type="spellEnd"/>
      <w:r w:rsidR="00967A5A">
        <w:rPr>
          <w:rFonts w:ascii="AZGCaspariT" w:hAnsi="AZGCaspariT"/>
          <w:sz w:val="22"/>
          <w:szCs w:val="22"/>
        </w:rPr>
        <w:t xml:space="preserve"> </w:t>
      </w:r>
      <w:r w:rsidR="00C46D4F" w:rsidRPr="00197296">
        <w:rPr>
          <w:rFonts w:ascii="AZGCaspariT" w:hAnsi="AZGCaspariT"/>
          <w:sz w:val="22"/>
          <w:szCs w:val="22"/>
        </w:rPr>
        <w:t xml:space="preserve">en </w:t>
      </w:r>
      <w:r w:rsidR="00395E1B" w:rsidRPr="00197296">
        <w:rPr>
          <w:rFonts w:ascii="AZGCaspariT" w:hAnsi="AZGCaspariT"/>
          <w:sz w:val="22"/>
          <w:szCs w:val="22"/>
        </w:rPr>
        <w:t xml:space="preserve"> drs. </w:t>
      </w:r>
      <w:r w:rsidR="00C46D4F" w:rsidRPr="00197296">
        <w:rPr>
          <w:rFonts w:ascii="AZGCaspariT" w:hAnsi="AZGCaspariT"/>
          <w:sz w:val="22"/>
          <w:szCs w:val="22"/>
        </w:rPr>
        <w:t>M. Gelderloos</w:t>
      </w:r>
    </w:p>
    <w:p w14:paraId="5BB6589D" w14:textId="77777777" w:rsidR="004753F9" w:rsidRPr="00197296" w:rsidRDefault="004753F9" w:rsidP="000F35DE">
      <w:pPr>
        <w:ind w:left="360"/>
        <w:rPr>
          <w:rFonts w:ascii="AZGCaspariT" w:hAnsi="AZGCaspariT"/>
          <w:sz w:val="22"/>
          <w:szCs w:val="22"/>
        </w:rPr>
      </w:pPr>
      <w:r w:rsidRPr="00197296">
        <w:rPr>
          <w:rFonts w:ascii="AZGCaspariT" w:hAnsi="AZGCaspariT"/>
          <w:sz w:val="22"/>
          <w:szCs w:val="22"/>
        </w:rPr>
        <w:t xml:space="preserve">Mutator: </w:t>
      </w:r>
    </w:p>
    <w:p w14:paraId="7D7264DC" w14:textId="77777777" w:rsidR="004753F9" w:rsidRPr="00197296" w:rsidRDefault="004753F9" w:rsidP="000F35DE">
      <w:pPr>
        <w:rPr>
          <w:rFonts w:ascii="AZGCaspariT" w:hAnsi="AZGCaspariT"/>
          <w:sz w:val="22"/>
          <w:szCs w:val="22"/>
        </w:rPr>
      </w:pPr>
    </w:p>
    <w:p w14:paraId="2894465B" w14:textId="77777777" w:rsidR="004753F9" w:rsidRPr="00197296" w:rsidRDefault="004753F9" w:rsidP="000F35DE">
      <w:pPr>
        <w:numPr>
          <w:ilvl w:val="0"/>
          <w:numId w:val="3"/>
        </w:numPr>
        <w:rPr>
          <w:rFonts w:ascii="AZGCaspariT" w:hAnsi="AZGCaspariT"/>
          <w:b/>
          <w:sz w:val="22"/>
          <w:szCs w:val="22"/>
        </w:rPr>
      </w:pPr>
      <w:r w:rsidRPr="00197296">
        <w:rPr>
          <w:rFonts w:ascii="AZGCaspariT" w:hAnsi="AZGCaspariT"/>
          <w:b/>
          <w:sz w:val="22"/>
          <w:szCs w:val="22"/>
        </w:rPr>
        <w:t>Reden van wijziging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2"/>
        <w:gridCol w:w="2271"/>
        <w:gridCol w:w="2252"/>
        <w:gridCol w:w="2269"/>
      </w:tblGrid>
      <w:tr w:rsidR="004753F9" w:rsidRPr="00197296" w14:paraId="7AD05D70" w14:textId="77777777" w:rsidTr="0016137D">
        <w:tc>
          <w:tcPr>
            <w:tcW w:w="1835" w:type="dxa"/>
          </w:tcPr>
          <w:p w14:paraId="5B5BE367" w14:textId="77777777" w:rsidR="004753F9" w:rsidRPr="00197296" w:rsidRDefault="004753F9" w:rsidP="000F35DE">
            <w:pPr>
              <w:rPr>
                <w:rFonts w:ascii="AZGCaspariT" w:hAnsi="AZGCaspariT"/>
                <w:i/>
                <w:sz w:val="22"/>
                <w:szCs w:val="22"/>
              </w:rPr>
            </w:pPr>
            <w:r w:rsidRPr="00197296">
              <w:rPr>
                <w:rFonts w:ascii="AZGCaspariT" w:hAnsi="AZGCaspariT"/>
                <w:i/>
                <w:sz w:val="22"/>
                <w:szCs w:val="22"/>
              </w:rPr>
              <w:t>Datum</w:t>
            </w:r>
          </w:p>
        </w:tc>
        <w:tc>
          <w:tcPr>
            <w:tcW w:w="2303" w:type="dxa"/>
          </w:tcPr>
          <w:p w14:paraId="6F2FD828" w14:textId="77777777" w:rsidR="004753F9" w:rsidRPr="00197296" w:rsidRDefault="004753F9" w:rsidP="000F35DE">
            <w:pPr>
              <w:rPr>
                <w:rFonts w:ascii="AZGCaspariT" w:hAnsi="AZGCaspariT"/>
                <w:i/>
                <w:sz w:val="22"/>
                <w:szCs w:val="22"/>
              </w:rPr>
            </w:pPr>
            <w:r w:rsidRPr="00197296">
              <w:rPr>
                <w:rFonts w:ascii="AZGCaspariT" w:hAnsi="AZGCaspariT"/>
                <w:i/>
                <w:sz w:val="22"/>
                <w:szCs w:val="22"/>
              </w:rPr>
              <w:t>Auteur</w:t>
            </w:r>
          </w:p>
        </w:tc>
        <w:tc>
          <w:tcPr>
            <w:tcW w:w="2303" w:type="dxa"/>
          </w:tcPr>
          <w:p w14:paraId="19846C65" w14:textId="77777777" w:rsidR="004753F9" w:rsidRPr="00197296" w:rsidRDefault="004753F9" w:rsidP="000F35DE">
            <w:pPr>
              <w:rPr>
                <w:rFonts w:ascii="AZGCaspariT" w:hAnsi="AZGCaspariT"/>
                <w:i/>
                <w:sz w:val="22"/>
                <w:szCs w:val="22"/>
              </w:rPr>
            </w:pPr>
            <w:r w:rsidRPr="00197296">
              <w:rPr>
                <w:rFonts w:ascii="AZGCaspariT" w:hAnsi="AZGCaspariT"/>
                <w:i/>
                <w:sz w:val="22"/>
                <w:szCs w:val="22"/>
              </w:rPr>
              <w:t>Versie</w:t>
            </w:r>
          </w:p>
        </w:tc>
        <w:tc>
          <w:tcPr>
            <w:tcW w:w="2303" w:type="dxa"/>
          </w:tcPr>
          <w:p w14:paraId="083F2DE5" w14:textId="77777777" w:rsidR="004753F9" w:rsidRPr="00197296" w:rsidRDefault="004753F9" w:rsidP="000F35DE">
            <w:pPr>
              <w:rPr>
                <w:rFonts w:ascii="AZGCaspariT" w:hAnsi="AZGCaspariT"/>
                <w:i/>
                <w:sz w:val="22"/>
                <w:szCs w:val="22"/>
              </w:rPr>
            </w:pPr>
            <w:r w:rsidRPr="00197296">
              <w:rPr>
                <w:rFonts w:ascii="AZGCaspariT" w:hAnsi="AZGCaspariT"/>
                <w:i/>
                <w:sz w:val="22"/>
                <w:szCs w:val="22"/>
              </w:rPr>
              <w:t>Wijziging</w:t>
            </w:r>
          </w:p>
        </w:tc>
      </w:tr>
      <w:tr w:rsidR="004753F9" w:rsidRPr="00197296" w14:paraId="545FC7CC" w14:textId="77777777" w:rsidTr="0016137D">
        <w:tc>
          <w:tcPr>
            <w:tcW w:w="1835" w:type="dxa"/>
          </w:tcPr>
          <w:p w14:paraId="269D9B2F" w14:textId="7848AF7A" w:rsidR="004753F9" w:rsidRPr="00197296" w:rsidRDefault="00445804" w:rsidP="000F35DE">
            <w:pPr>
              <w:rPr>
                <w:rFonts w:ascii="AZGCaspariT" w:hAnsi="AZGCaspariT"/>
                <w:b/>
                <w:sz w:val="22"/>
                <w:szCs w:val="22"/>
              </w:rPr>
            </w:pPr>
            <w:r>
              <w:rPr>
                <w:rFonts w:ascii="AZGCaspariT" w:hAnsi="AZGCaspariT"/>
                <w:b/>
                <w:sz w:val="22"/>
                <w:szCs w:val="22"/>
              </w:rPr>
              <w:t>28-09-2021</w:t>
            </w:r>
          </w:p>
        </w:tc>
        <w:tc>
          <w:tcPr>
            <w:tcW w:w="2303" w:type="dxa"/>
          </w:tcPr>
          <w:p w14:paraId="0E99FA85" w14:textId="77777777" w:rsidR="004753F9" w:rsidRDefault="00445804" w:rsidP="000F35DE">
            <w:pPr>
              <w:rPr>
                <w:rFonts w:ascii="AZGCaspariT" w:hAnsi="AZGCaspariT"/>
                <w:b/>
                <w:sz w:val="22"/>
                <w:szCs w:val="22"/>
              </w:rPr>
            </w:pPr>
            <w:r>
              <w:rPr>
                <w:rFonts w:ascii="AZGCaspariT" w:hAnsi="AZGCaspariT"/>
                <w:b/>
                <w:sz w:val="22"/>
                <w:szCs w:val="22"/>
              </w:rPr>
              <w:t xml:space="preserve">dr. M.R. Schipperus, dr. A.B.U. </w:t>
            </w:r>
            <w:proofErr w:type="spellStart"/>
            <w:r>
              <w:rPr>
                <w:rFonts w:ascii="AZGCaspariT" w:hAnsi="AZGCaspariT"/>
                <w:b/>
                <w:sz w:val="22"/>
                <w:szCs w:val="22"/>
              </w:rPr>
              <w:t>Mäkelburg</w:t>
            </w:r>
            <w:proofErr w:type="spellEnd"/>
          </w:p>
          <w:p w14:paraId="0757198B" w14:textId="4D21596B" w:rsidR="00445804" w:rsidRPr="00197296" w:rsidRDefault="00445804" w:rsidP="000F35DE">
            <w:pPr>
              <w:rPr>
                <w:rFonts w:ascii="AZGCaspariT" w:hAnsi="AZGCaspariT"/>
                <w:b/>
                <w:sz w:val="22"/>
                <w:szCs w:val="22"/>
              </w:rPr>
            </w:pPr>
            <w:r>
              <w:rPr>
                <w:rFonts w:ascii="AZGCaspariT" w:hAnsi="AZGCaspariT"/>
                <w:b/>
                <w:sz w:val="22"/>
                <w:szCs w:val="22"/>
              </w:rPr>
              <w:t xml:space="preserve">drs. M. Gelderloos </w:t>
            </w:r>
          </w:p>
        </w:tc>
        <w:tc>
          <w:tcPr>
            <w:tcW w:w="2303" w:type="dxa"/>
          </w:tcPr>
          <w:p w14:paraId="337B9734" w14:textId="4CFCC39D" w:rsidR="004753F9" w:rsidRPr="00197296" w:rsidRDefault="00445804" w:rsidP="000F35DE">
            <w:pPr>
              <w:rPr>
                <w:rFonts w:ascii="AZGCaspariT" w:hAnsi="AZGCaspariT"/>
                <w:b/>
                <w:sz w:val="22"/>
                <w:szCs w:val="22"/>
              </w:rPr>
            </w:pPr>
            <w:r>
              <w:rPr>
                <w:rFonts w:ascii="AZGCaspariT" w:hAnsi="AZGCaspariT"/>
                <w:b/>
                <w:sz w:val="22"/>
                <w:szCs w:val="22"/>
              </w:rPr>
              <w:t>2.0</w:t>
            </w:r>
          </w:p>
        </w:tc>
        <w:tc>
          <w:tcPr>
            <w:tcW w:w="2303" w:type="dxa"/>
          </w:tcPr>
          <w:p w14:paraId="27647817" w14:textId="4599BD2F" w:rsidR="004753F9" w:rsidRPr="00197296" w:rsidRDefault="00445804" w:rsidP="00CB2771">
            <w:pPr>
              <w:rPr>
                <w:rFonts w:ascii="AZGCaspariT" w:hAnsi="AZGCaspariT"/>
                <w:b/>
                <w:sz w:val="22"/>
                <w:szCs w:val="22"/>
              </w:rPr>
            </w:pPr>
            <w:r>
              <w:rPr>
                <w:rFonts w:ascii="AZGCaspariT" w:hAnsi="AZGCaspariT"/>
                <w:b/>
                <w:sz w:val="22"/>
                <w:szCs w:val="22"/>
              </w:rPr>
              <w:t>Toevoegen beleid CAR-T en Procedure binnen het UMCG</w:t>
            </w:r>
          </w:p>
        </w:tc>
      </w:tr>
      <w:tr w:rsidR="004753F9" w:rsidRPr="00197296" w14:paraId="5EDAB5AF" w14:textId="77777777" w:rsidTr="0016137D">
        <w:tc>
          <w:tcPr>
            <w:tcW w:w="1835" w:type="dxa"/>
          </w:tcPr>
          <w:p w14:paraId="7980B4D9" w14:textId="77777777" w:rsidR="004753F9" w:rsidRPr="00197296" w:rsidRDefault="004753F9" w:rsidP="000F35DE">
            <w:pPr>
              <w:rPr>
                <w:rFonts w:ascii="AZGCaspariT" w:hAnsi="AZGCaspariT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59A6DD92" w14:textId="77777777" w:rsidR="004753F9" w:rsidRPr="00197296" w:rsidRDefault="004753F9" w:rsidP="000F35DE">
            <w:pPr>
              <w:rPr>
                <w:rFonts w:ascii="AZGCaspariT" w:hAnsi="AZGCaspariT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718F03E0" w14:textId="77777777" w:rsidR="004753F9" w:rsidRPr="00197296" w:rsidRDefault="004753F9" w:rsidP="000F35DE">
            <w:pPr>
              <w:rPr>
                <w:rFonts w:ascii="AZGCaspariT" w:hAnsi="AZGCaspariT"/>
                <w:b/>
                <w:sz w:val="22"/>
                <w:szCs w:val="22"/>
              </w:rPr>
            </w:pPr>
          </w:p>
        </w:tc>
        <w:tc>
          <w:tcPr>
            <w:tcW w:w="2303" w:type="dxa"/>
          </w:tcPr>
          <w:p w14:paraId="1694A06A" w14:textId="77777777" w:rsidR="004753F9" w:rsidRPr="00197296" w:rsidRDefault="004753F9" w:rsidP="000F35DE">
            <w:pPr>
              <w:rPr>
                <w:rFonts w:ascii="AZGCaspariT" w:hAnsi="AZGCaspariT"/>
                <w:b/>
                <w:sz w:val="22"/>
                <w:szCs w:val="22"/>
              </w:rPr>
            </w:pPr>
          </w:p>
        </w:tc>
      </w:tr>
    </w:tbl>
    <w:p w14:paraId="0778D6BD" w14:textId="77777777" w:rsidR="004753F9" w:rsidRPr="00197296" w:rsidRDefault="004753F9" w:rsidP="000F35DE">
      <w:pPr>
        <w:rPr>
          <w:rFonts w:ascii="AZGCaspariT" w:hAnsi="AZGCaspariT"/>
          <w:b/>
          <w:sz w:val="22"/>
          <w:szCs w:val="22"/>
        </w:rPr>
      </w:pPr>
    </w:p>
    <w:p w14:paraId="41D2D42C" w14:textId="77777777" w:rsidR="004753F9" w:rsidRPr="00197296" w:rsidRDefault="004753F9" w:rsidP="000F35DE">
      <w:pPr>
        <w:numPr>
          <w:ilvl w:val="0"/>
          <w:numId w:val="3"/>
        </w:numPr>
        <w:rPr>
          <w:rFonts w:ascii="AZGCaspariT" w:hAnsi="AZGCaspariT"/>
          <w:b/>
          <w:sz w:val="22"/>
          <w:szCs w:val="22"/>
        </w:rPr>
      </w:pPr>
      <w:r w:rsidRPr="00197296">
        <w:rPr>
          <w:rFonts w:ascii="AZGCaspariT" w:hAnsi="AZGCaspariT"/>
          <w:b/>
          <w:sz w:val="22"/>
          <w:szCs w:val="22"/>
        </w:rPr>
        <w:t>Doel</w:t>
      </w:r>
    </w:p>
    <w:p w14:paraId="502268B6" w14:textId="77777777" w:rsidR="004753F9" w:rsidRDefault="004753F9" w:rsidP="003475C6">
      <w:pPr>
        <w:ind w:left="360"/>
        <w:rPr>
          <w:rFonts w:ascii="AZGCaspariT" w:hAnsi="AZGCaspariT"/>
          <w:sz w:val="22"/>
          <w:szCs w:val="22"/>
        </w:rPr>
      </w:pPr>
      <w:r w:rsidRPr="00197296">
        <w:rPr>
          <w:rFonts w:ascii="AZGCaspariT" w:hAnsi="AZGCaspariT"/>
          <w:sz w:val="22"/>
          <w:szCs w:val="22"/>
        </w:rPr>
        <w:t xml:space="preserve">Beleid </w:t>
      </w:r>
      <w:proofErr w:type="spellStart"/>
      <w:r w:rsidR="00A86A4F">
        <w:rPr>
          <w:rFonts w:ascii="AZGCaspariT" w:hAnsi="AZGCaspariT"/>
          <w:sz w:val="22"/>
          <w:szCs w:val="22"/>
        </w:rPr>
        <w:t>in</w:t>
      </w:r>
      <w:r w:rsidR="00967A5A">
        <w:rPr>
          <w:rFonts w:ascii="AZGCaspariT" w:hAnsi="AZGCaspariT"/>
          <w:sz w:val="22"/>
          <w:szCs w:val="22"/>
        </w:rPr>
        <w:t>keur</w:t>
      </w:r>
      <w:r w:rsidR="00A86A4F">
        <w:rPr>
          <w:rFonts w:ascii="AZGCaspariT" w:hAnsi="AZGCaspariT"/>
          <w:sz w:val="22"/>
          <w:szCs w:val="22"/>
        </w:rPr>
        <w:t>e</w:t>
      </w:r>
      <w:r w:rsidR="00967A5A">
        <w:rPr>
          <w:rFonts w:ascii="AZGCaspariT" w:hAnsi="AZGCaspariT"/>
          <w:sz w:val="22"/>
          <w:szCs w:val="22"/>
        </w:rPr>
        <w:t>n</w:t>
      </w:r>
      <w:proofErr w:type="spellEnd"/>
      <w:r w:rsidR="00967A5A">
        <w:rPr>
          <w:rFonts w:ascii="AZGCaspariT" w:hAnsi="AZGCaspariT"/>
          <w:sz w:val="22"/>
          <w:szCs w:val="22"/>
        </w:rPr>
        <w:t xml:space="preserve"> </w:t>
      </w:r>
      <w:r w:rsidR="00A86A4F">
        <w:rPr>
          <w:rFonts w:ascii="AZGCaspariT" w:hAnsi="AZGCaspariT"/>
          <w:sz w:val="22"/>
          <w:szCs w:val="22"/>
        </w:rPr>
        <w:t>autologe en allogene donor bij start</w:t>
      </w:r>
      <w:r w:rsidR="00967A5A">
        <w:rPr>
          <w:rFonts w:ascii="AZGCaspariT" w:hAnsi="AZGCaspariT"/>
          <w:sz w:val="22"/>
          <w:szCs w:val="22"/>
        </w:rPr>
        <w:t xml:space="preserve"> stamcel</w:t>
      </w:r>
      <w:r w:rsidR="00A86A4F">
        <w:rPr>
          <w:rFonts w:ascii="AZGCaspariT" w:hAnsi="AZGCaspariT"/>
          <w:sz w:val="22"/>
          <w:szCs w:val="22"/>
        </w:rPr>
        <w:t>- of donorlymfocyt</w:t>
      </w:r>
      <w:r w:rsidR="00967A5A">
        <w:rPr>
          <w:rFonts w:ascii="AZGCaspariT" w:hAnsi="AZGCaspariT"/>
          <w:sz w:val="22"/>
          <w:szCs w:val="22"/>
        </w:rPr>
        <w:t>aferese</w:t>
      </w:r>
      <w:r w:rsidR="00EE1394" w:rsidRPr="00197296">
        <w:rPr>
          <w:rFonts w:ascii="AZGCaspariT" w:hAnsi="AZGCaspariT"/>
          <w:sz w:val="22"/>
          <w:szCs w:val="22"/>
        </w:rPr>
        <w:t xml:space="preserve">. </w:t>
      </w:r>
    </w:p>
    <w:p w14:paraId="5317E7F5" w14:textId="77777777" w:rsidR="00CE00FE" w:rsidRPr="00197296" w:rsidRDefault="00CE00FE" w:rsidP="003475C6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Afspraken over begeleiding tijdens de afereseprocedure.</w:t>
      </w:r>
    </w:p>
    <w:p w14:paraId="572A73AD" w14:textId="77777777" w:rsidR="004753F9" w:rsidRPr="00197296" w:rsidRDefault="004753F9" w:rsidP="00863015">
      <w:pPr>
        <w:rPr>
          <w:rFonts w:ascii="AZGCaspariT" w:hAnsi="AZGCaspariT"/>
          <w:sz w:val="22"/>
          <w:szCs w:val="22"/>
        </w:rPr>
      </w:pPr>
    </w:p>
    <w:p w14:paraId="12A48D3D" w14:textId="77777777" w:rsidR="004753F9" w:rsidRPr="00197296" w:rsidRDefault="004753F9" w:rsidP="000F35DE">
      <w:pPr>
        <w:numPr>
          <w:ilvl w:val="0"/>
          <w:numId w:val="3"/>
        </w:numPr>
        <w:rPr>
          <w:rFonts w:ascii="AZGCaspariT" w:hAnsi="AZGCaspariT"/>
          <w:b/>
          <w:sz w:val="22"/>
          <w:szCs w:val="22"/>
        </w:rPr>
      </w:pPr>
      <w:r w:rsidRPr="00197296">
        <w:rPr>
          <w:rFonts w:ascii="AZGCaspariT" w:hAnsi="AZGCaspariT"/>
          <w:b/>
          <w:sz w:val="22"/>
          <w:szCs w:val="22"/>
        </w:rPr>
        <w:t>Toepassingsgebied</w:t>
      </w:r>
    </w:p>
    <w:p w14:paraId="4DCB2B63" w14:textId="77777777" w:rsidR="004753F9" w:rsidRPr="00197296" w:rsidRDefault="00A86A4F" w:rsidP="003475C6">
      <w:pPr>
        <w:ind w:left="360"/>
        <w:rPr>
          <w:rFonts w:ascii="AZGCaspariT" w:hAnsi="AZGCaspariT"/>
          <w:sz w:val="22"/>
          <w:szCs w:val="22"/>
        </w:rPr>
      </w:pPr>
      <w:proofErr w:type="spellStart"/>
      <w:r>
        <w:rPr>
          <w:rFonts w:ascii="AZGCaspariT" w:hAnsi="AZGCaspariT"/>
          <w:sz w:val="22"/>
          <w:szCs w:val="22"/>
        </w:rPr>
        <w:t>In</w:t>
      </w:r>
      <w:r w:rsidR="00483007">
        <w:rPr>
          <w:rFonts w:ascii="AZGCaspariT" w:hAnsi="AZGCaspariT"/>
          <w:sz w:val="22"/>
          <w:szCs w:val="22"/>
        </w:rPr>
        <w:t>keur</w:t>
      </w:r>
      <w:r>
        <w:rPr>
          <w:rFonts w:ascii="AZGCaspariT" w:hAnsi="AZGCaspariT"/>
          <w:sz w:val="22"/>
          <w:szCs w:val="22"/>
        </w:rPr>
        <w:t>e</w:t>
      </w:r>
      <w:r w:rsidR="00483007">
        <w:rPr>
          <w:rFonts w:ascii="AZGCaspariT" w:hAnsi="AZGCaspariT"/>
          <w:sz w:val="22"/>
          <w:szCs w:val="22"/>
        </w:rPr>
        <w:t>n</w:t>
      </w:r>
      <w:proofErr w:type="spellEnd"/>
      <w:r w:rsidR="00483007">
        <w:rPr>
          <w:rFonts w:ascii="AZGCaspariT" w:hAnsi="AZGCaspariT"/>
          <w:sz w:val="22"/>
          <w:szCs w:val="22"/>
        </w:rPr>
        <w:t xml:space="preserve"> </w:t>
      </w:r>
      <w:r>
        <w:rPr>
          <w:rFonts w:ascii="AZGCaspariT" w:hAnsi="AZGCaspariT"/>
          <w:sz w:val="22"/>
          <w:szCs w:val="22"/>
        </w:rPr>
        <w:t xml:space="preserve">autologe en allogene donor </w:t>
      </w:r>
      <w:r w:rsidR="00483007">
        <w:rPr>
          <w:rFonts w:ascii="AZGCaspariT" w:hAnsi="AZGCaspariT"/>
          <w:sz w:val="22"/>
          <w:szCs w:val="22"/>
        </w:rPr>
        <w:t>vooraf aan stamcel</w:t>
      </w:r>
      <w:r w:rsidR="00967A5A">
        <w:rPr>
          <w:rFonts w:ascii="AZGCaspariT" w:hAnsi="AZGCaspariT"/>
          <w:sz w:val="22"/>
          <w:szCs w:val="22"/>
        </w:rPr>
        <w:t>afer</w:t>
      </w:r>
      <w:r w:rsidR="00483007">
        <w:rPr>
          <w:rFonts w:ascii="AZGCaspariT" w:hAnsi="AZGCaspariT"/>
          <w:sz w:val="22"/>
          <w:szCs w:val="22"/>
        </w:rPr>
        <w:t>e</w:t>
      </w:r>
      <w:r w:rsidR="00967A5A">
        <w:rPr>
          <w:rFonts w:ascii="AZGCaspariT" w:hAnsi="AZGCaspariT"/>
          <w:sz w:val="22"/>
          <w:szCs w:val="22"/>
        </w:rPr>
        <w:t>se.</w:t>
      </w:r>
      <w:r w:rsidR="00C46D4F" w:rsidRPr="00197296">
        <w:rPr>
          <w:rFonts w:ascii="AZGCaspariT" w:hAnsi="AZGCaspariT"/>
          <w:sz w:val="22"/>
          <w:szCs w:val="22"/>
        </w:rPr>
        <w:t xml:space="preserve"> </w:t>
      </w:r>
    </w:p>
    <w:p w14:paraId="064C40B9" w14:textId="77777777" w:rsidR="004753F9" w:rsidRPr="00197296" w:rsidRDefault="004753F9" w:rsidP="000F35DE">
      <w:pPr>
        <w:rPr>
          <w:rFonts w:ascii="AZGCaspariT" w:hAnsi="AZGCaspariT"/>
          <w:sz w:val="22"/>
          <w:szCs w:val="22"/>
        </w:rPr>
      </w:pPr>
    </w:p>
    <w:p w14:paraId="365B9ED2" w14:textId="77777777" w:rsidR="004753F9" w:rsidRPr="00197296" w:rsidRDefault="00E046DA" w:rsidP="000F35DE">
      <w:pPr>
        <w:numPr>
          <w:ilvl w:val="0"/>
          <w:numId w:val="3"/>
        </w:numPr>
        <w:rPr>
          <w:rFonts w:ascii="AZGCaspariT" w:hAnsi="AZGCaspariT"/>
          <w:b/>
          <w:sz w:val="22"/>
          <w:szCs w:val="22"/>
        </w:rPr>
      </w:pPr>
      <w:r w:rsidRPr="00197296">
        <w:rPr>
          <w:rFonts w:ascii="AZGCaspariT" w:hAnsi="AZGCaspariT"/>
          <w:b/>
          <w:sz w:val="22"/>
          <w:szCs w:val="22"/>
        </w:rPr>
        <w:t xml:space="preserve">Indicaties, bijwerkingen en </w:t>
      </w:r>
      <w:r w:rsidR="004B668B" w:rsidRPr="00197296">
        <w:rPr>
          <w:rFonts w:ascii="AZGCaspariT" w:hAnsi="AZGCaspariT"/>
          <w:b/>
          <w:sz w:val="22"/>
          <w:szCs w:val="22"/>
        </w:rPr>
        <w:t>complicaties</w:t>
      </w:r>
    </w:p>
    <w:p w14:paraId="73E8BF2B" w14:textId="77777777" w:rsidR="00E046DA" w:rsidRDefault="00CE00FE" w:rsidP="00E046DA">
      <w:pPr>
        <w:pStyle w:val="Lijstalinea"/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Autologe donoren (= p</w:t>
      </w:r>
      <w:r w:rsidR="00967A5A">
        <w:rPr>
          <w:rFonts w:ascii="AZGCaspariT" w:hAnsi="AZGCaspariT"/>
          <w:sz w:val="22"/>
          <w:szCs w:val="22"/>
        </w:rPr>
        <w:t>atiënten</w:t>
      </w:r>
      <w:r>
        <w:rPr>
          <w:rFonts w:ascii="AZGCaspariT" w:hAnsi="AZGCaspariT"/>
          <w:sz w:val="22"/>
          <w:szCs w:val="22"/>
        </w:rPr>
        <w:t>) en allogene</w:t>
      </w:r>
      <w:r w:rsidR="00967A5A">
        <w:rPr>
          <w:rFonts w:ascii="AZGCaspariT" w:hAnsi="AZGCaspariT"/>
          <w:sz w:val="22"/>
          <w:szCs w:val="22"/>
        </w:rPr>
        <w:t xml:space="preserve"> </w:t>
      </w:r>
      <w:r>
        <w:rPr>
          <w:rFonts w:ascii="AZGCaspariT" w:hAnsi="AZGCaspariT"/>
          <w:sz w:val="22"/>
          <w:szCs w:val="22"/>
        </w:rPr>
        <w:t>d</w:t>
      </w:r>
      <w:r w:rsidR="00967A5A">
        <w:rPr>
          <w:rFonts w:ascii="AZGCaspariT" w:hAnsi="AZGCaspariT"/>
          <w:sz w:val="22"/>
          <w:szCs w:val="22"/>
        </w:rPr>
        <w:t>onoren die een stamcel</w:t>
      </w:r>
      <w:r>
        <w:rPr>
          <w:rFonts w:ascii="AZGCaspariT" w:hAnsi="AZGCaspariT"/>
          <w:sz w:val="22"/>
          <w:szCs w:val="22"/>
        </w:rPr>
        <w:t>- of donorlymfocyt</w:t>
      </w:r>
      <w:r w:rsidR="00967A5A">
        <w:rPr>
          <w:rFonts w:ascii="AZGCaspariT" w:hAnsi="AZGCaspariT"/>
          <w:sz w:val="22"/>
          <w:szCs w:val="22"/>
        </w:rPr>
        <w:t>aferese procedure moeten ondergaan</w:t>
      </w:r>
      <w:r>
        <w:rPr>
          <w:rFonts w:ascii="AZGCaspariT" w:hAnsi="AZGCaspariT"/>
          <w:sz w:val="22"/>
          <w:szCs w:val="22"/>
        </w:rPr>
        <w:t>.</w:t>
      </w:r>
    </w:p>
    <w:p w14:paraId="42FACF81" w14:textId="77777777" w:rsidR="00967A5A" w:rsidRDefault="00967A5A" w:rsidP="00E046DA">
      <w:pPr>
        <w:pStyle w:val="Lijstalinea"/>
        <w:ind w:left="360"/>
        <w:rPr>
          <w:rFonts w:ascii="AZGCaspariT" w:hAnsi="AZGCaspariT"/>
          <w:sz w:val="22"/>
          <w:szCs w:val="22"/>
        </w:rPr>
      </w:pPr>
    </w:p>
    <w:p w14:paraId="2AF75D82" w14:textId="77777777" w:rsidR="00967A5A" w:rsidRPr="00967A5A" w:rsidRDefault="00967A5A" w:rsidP="00E046DA">
      <w:pPr>
        <w:pStyle w:val="Lijstalinea"/>
        <w:ind w:left="360"/>
        <w:rPr>
          <w:rFonts w:ascii="AZGCaspariT" w:hAnsi="AZGCaspariT"/>
          <w:i/>
          <w:sz w:val="22"/>
          <w:szCs w:val="22"/>
        </w:rPr>
      </w:pPr>
      <w:r>
        <w:rPr>
          <w:rFonts w:ascii="AZGCaspariT" w:hAnsi="AZGCaspariT"/>
          <w:i/>
          <w:sz w:val="22"/>
          <w:szCs w:val="22"/>
        </w:rPr>
        <w:t xml:space="preserve">Bijwerkingen </w:t>
      </w:r>
      <w:r w:rsidR="00A86A4F">
        <w:rPr>
          <w:rFonts w:ascii="AZGCaspariT" w:hAnsi="AZGCaspariT"/>
          <w:i/>
          <w:sz w:val="22"/>
          <w:szCs w:val="22"/>
        </w:rPr>
        <w:t>van voor mobilisatie gebruikte medicatie</w:t>
      </w:r>
    </w:p>
    <w:p w14:paraId="6ECB0F4D" w14:textId="77777777" w:rsidR="00506707" w:rsidRDefault="00483007" w:rsidP="00A46528">
      <w:pPr>
        <w:pStyle w:val="Lijstalinea"/>
        <w:numPr>
          <w:ilvl w:val="0"/>
          <w:numId w:val="13"/>
        </w:num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Verminderde intake</w:t>
      </w:r>
      <w:r w:rsidR="004E2BDE">
        <w:rPr>
          <w:rFonts w:ascii="AZGCaspariT" w:hAnsi="AZGCaspariT"/>
          <w:sz w:val="22"/>
          <w:szCs w:val="22"/>
        </w:rPr>
        <w:t>;</w:t>
      </w:r>
    </w:p>
    <w:p w14:paraId="7F16FD52" w14:textId="77777777" w:rsidR="00483007" w:rsidRDefault="00483007" w:rsidP="00A46528">
      <w:pPr>
        <w:pStyle w:val="Lijstalinea"/>
        <w:numPr>
          <w:ilvl w:val="0"/>
          <w:numId w:val="13"/>
        </w:num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Vermoeidheid</w:t>
      </w:r>
      <w:r w:rsidR="004E2BDE">
        <w:rPr>
          <w:rFonts w:ascii="AZGCaspariT" w:hAnsi="AZGCaspariT"/>
          <w:sz w:val="22"/>
          <w:szCs w:val="22"/>
        </w:rPr>
        <w:t>;</w:t>
      </w:r>
    </w:p>
    <w:p w14:paraId="300138D6" w14:textId="77777777" w:rsidR="00F524C0" w:rsidRPr="00F524C0" w:rsidRDefault="00483007" w:rsidP="00F524C0">
      <w:pPr>
        <w:pStyle w:val="Lijstalinea"/>
        <w:numPr>
          <w:ilvl w:val="0"/>
          <w:numId w:val="13"/>
        </w:num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Grieperig</w:t>
      </w:r>
      <w:r w:rsidR="004E2BDE">
        <w:rPr>
          <w:rFonts w:ascii="AZGCaspariT" w:hAnsi="AZGCaspariT"/>
          <w:sz w:val="22"/>
          <w:szCs w:val="22"/>
        </w:rPr>
        <w:t>;</w:t>
      </w:r>
    </w:p>
    <w:p w14:paraId="39EE41EF" w14:textId="77777777" w:rsidR="00483007" w:rsidRDefault="00483007" w:rsidP="00A46528">
      <w:pPr>
        <w:pStyle w:val="Lijstalinea"/>
        <w:numPr>
          <w:ilvl w:val="0"/>
          <w:numId w:val="13"/>
        </w:numPr>
        <w:rPr>
          <w:rFonts w:ascii="AZGCaspariT" w:hAnsi="AZGCaspariT"/>
          <w:sz w:val="22"/>
          <w:szCs w:val="22"/>
        </w:rPr>
      </w:pPr>
      <w:proofErr w:type="spellStart"/>
      <w:r>
        <w:rPr>
          <w:rFonts w:ascii="AZGCaspariT" w:hAnsi="AZGCaspariT"/>
          <w:sz w:val="22"/>
          <w:szCs w:val="22"/>
        </w:rPr>
        <w:t>Botpijn</w:t>
      </w:r>
      <w:proofErr w:type="spellEnd"/>
      <w:r w:rsidR="00F524C0">
        <w:rPr>
          <w:rFonts w:ascii="AZGCaspariT" w:hAnsi="AZGCaspariT"/>
          <w:sz w:val="22"/>
          <w:szCs w:val="22"/>
        </w:rPr>
        <w:t>;</w:t>
      </w:r>
    </w:p>
    <w:p w14:paraId="04643FA6" w14:textId="77777777" w:rsidR="00F524C0" w:rsidRDefault="00F524C0" w:rsidP="00A46528">
      <w:pPr>
        <w:pStyle w:val="Lijstalinea"/>
        <w:numPr>
          <w:ilvl w:val="0"/>
          <w:numId w:val="13"/>
        </w:num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Milt ruptuur;</w:t>
      </w:r>
    </w:p>
    <w:p w14:paraId="14EA8445" w14:textId="77777777" w:rsidR="00F524C0" w:rsidRDefault="00F524C0" w:rsidP="00A46528">
      <w:pPr>
        <w:pStyle w:val="Lijstalinea"/>
        <w:numPr>
          <w:ilvl w:val="0"/>
          <w:numId w:val="13"/>
        </w:numPr>
        <w:rPr>
          <w:rFonts w:ascii="AZGCaspariT" w:hAnsi="AZGCaspariT"/>
          <w:sz w:val="22"/>
          <w:szCs w:val="22"/>
        </w:rPr>
      </w:pPr>
      <w:proofErr w:type="spellStart"/>
      <w:r>
        <w:rPr>
          <w:rFonts w:ascii="AZGCaspariT" w:hAnsi="AZGCaspariT"/>
          <w:sz w:val="22"/>
          <w:szCs w:val="22"/>
        </w:rPr>
        <w:t>Tromobose</w:t>
      </w:r>
      <w:proofErr w:type="spellEnd"/>
      <w:r>
        <w:rPr>
          <w:rFonts w:ascii="AZGCaspariT" w:hAnsi="AZGCaspariT"/>
          <w:sz w:val="22"/>
          <w:szCs w:val="22"/>
        </w:rPr>
        <w:t>;</w:t>
      </w:r>
    </w:p>
    <w:p w14:paraId="03E1110E" w14:textId="77777777" w:rsidR="00F524C0" w:rsidRDefault="00F524C0" w:rsidP="00A46528">
      <w:pPr>
        <w:pStyle w:val="Lijstalinea"/>
        <w:numPr>
          <w:ilvl w:val="0"/>
          <w:numId w:val="13"/>
        </w:num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CVA;</w:t>
      </w:r>
    </w:p>
    <w:p w14:paraId="6C57EC39" w14:textId="77777777" w:rsidR="00F524C0" w:rsidRDefault="00F524C0" w:rsidP="00A46528">
      <w:pPr>
        <w:pStyle w:val="Lijstalinea"/>
        <w:numPr>
          <w:ilvl w:val="0"/>
          <w:numId w:val="13"/>
        </w:num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Myocardinfarct;</w:t>
      </w:r>
    </w:p>
    <w:p w14:paraId="040E3202" w14:textId="77777777" w:rsidR="00ED78E6" w:rsidRPr="00197296" w:rsidRDefault="00ED78E6" w:rsidP="00A46528">
      <w:pPr>
        <w:pStyle w:val="Lijstalinea"/>
        <w:numPr>
          <w:ilvl w:val="0"/>
          <w:numId w:val="13"/>
        </w:num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Bij gebruik van </w:t>
      </w:r>
      <w:proofErr w:type="spellStart"/>
      <w:r>
        <w:rPr>
          <w:rFonts w:ascii="AZGCaspariT" w:hAnsi="AZGCaspariT"/>
          <w:sz w:val="22"/>
          <w:szCs w:val="22"/>
        </w:rPr>
        <w:t>plerixafor</w:t>
      </w:r>
      <w:proofErr w:type="spellEnd"/>
      <w:r>
        <w:rPr>
          <w:rFonts w:ascii="AZGCaspariT" w:hAnsi="AZGCaspariT"/>
          <w:sz w:val="22"/>
          <w:szCs w:val="22"/>
        </w:rPr>
        <w:t xml:space="preserve"> ook gastro-intestinale verschijnselen (misselijk, braken, buikkrampen, diarree)</w:t>
      </w:r>
    </w:p>
    <w:p w14:paraId="2FA12E66" w14:textId="77777777" w:rsidR="00ED78E6" w:rsidRPr="00ED78E6" w:rsidRDefault="00ED78E6" w:rsidP="00ED78E6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i/>
          <w:sz w:val="22"/>
          <w:szCs w:val="22"/>
        </w:rPr>
        <w:t xml:space="preserve">    </w:t>
      </w:r>
    </w:p>
    <w:p w14:paraId="557DD752" w14:textId="77777777" w:rsidR="00967A5A" w:rsidRPr="00483007" w:rsidRDefault="00506707" w:rsidP="00506707">
      <w:pPr>
        <w:ind w:firstLine="360"/>
        <w:rPr>
          <w:rFonts w:ascii="AZGCaspariT" w:hAnsi="AZGCaspariT"/>
          <w:i/>
          <w:sz w:val="22"/>
          <w:szCs w:val="22"/>
        </w:rPr>
      </w:pPr>
      <w:r w:rsidRPr="00483007">
        <w:rPr>
          <w:rFonts w:ascii="AZGCaspariT" w:hAnsi="AZGCaspariT"/>
          <w:i/>
          <w:sz w:val="22"/>
          <w:szCs w:val="22"/>
        </w:rPr>
        <w:t xml:space="preserve">Bijwerkingen  tijdens </w:t>
      </w:r>
      <w:r w:rsidR="00967A5A" w:rsidRPr="00483007">
        <w:rPr>
          <w:rFonts w:ascii="AZGCaspariT" w:hAnsi="AZGCaspariT"/>
          <w:i/>
          <w:sz w:val="22"/>
          <w:szCs w:val="22"/>
        </w:rPr>
        <w:t>de afer</w:t>
      </w:r>
      <w:r w:rsidR="00483007" w:rsidRPr="00483007">
        <w:rPr>
          <w:rFonts w:ascii="AZGCaspariT" w:hAnsi="AZGCaspariT"/>
          <w:i/>
          <w:sz w:val="22"/>
          <w:szCs w:val="22"/>
        </w:rPr>
        <w:t>e</w:t>
      </w:r>
      <w:r w:rsidR="00967A5A" w:rsidRPr="00483007">
        <w:rPr>
          <w:rFonts w:ascii="AZGCaspariT" w:hAnsi="AZGCaspariT"/>
          <w:i/>
          <w:sz w:val="22"/>
          <w:szCs w:val="22"/>
        </w:rPr>
        <w:t>se procedure</w:t>
      </w:r>
    </w:p>
    <w:p w14:paraId="57BA3D94" w14:textId="77777777" w:rsidR="004B4C7F" w:rsidRPr="00A46528" w:rsidRDefault="004B4C7F" w:rsidP="00A46528">
      <w:pPr>
        <w:pStyle w:val="Lijstalinea"/>
        <w:numPr>
          <w:ilvl w:val="0"/>
          <w:numId w:val="14"/>
        </w:numPr>
        <w:rPr>
          <w:rFonts w:ascii="AZGCaspariT" w:hAnsi="AZGCaspariT"/>
          <w:sz w:val="22"/>
          <w:szCs w:val="22"/>
        </w:rPr>
      </w:pPr>
      <w:proofErr w:type="spellStart"/>
      <w:r w:rsidRPr="00A46528">
        <w:rPr>
          <w:rFonts w:ascii="AZGCaspariT" w:hAnsi="AZGCaspariT"/>
          <w:sz w:val="22"/>
          <w:szCs w:val="22"/>
        </w:rPr>
        <w:t>Citraat</w:t>
      </w:r>
      <w:proofErr w:type="spellEnd"/>
      <w:r w:rsidRPr="00A46528">
        <w:rPr>
          <w:rFonts w:ascii="AZGCaspariT" w:hAnsi="AZGCaspariT"/>
          <w:sz w:val="22"/>
          <w:szCs w:val="22"/>
        </w:rPr>
        <w:t xml:space="preserve"> geïnduceerde hypo</w:t>
      </w:r>
      <w:r w:rsidR="00834832" w:rsidRPr="00A46528">
        <w:rPr>
          <w:rFonts w:ascii="AZGCaspariT" w:hAnsi="AZGCaspariT"/>
          <w:sz w:val="22"/>
          <w:szCs w:val="22"/>
        </w:rPr>
        <w:t>-</w:t>
      </w:r>
      <w:proofErr w:type="spellStart"/>
      <w:r w:rsidR="00ED78E6" w:rsidRPr="00A46528">
        <w:rPr>
          <w:rFonts w:ascii="AZGCaspariT" w:hAnsi="AZGCaspariT"/>
          <w:sz w:val="22"/>
          <w:szCs w:val="22"/>
        </w:rPr>
        <w:t>calcië</w:t>
      </w:r>
      <w:r w:rsidRPr="00A46528">
        <w:rPr>
          <w:rFonts w:ascii="AZGCaspariT" w:hAnsi="AZGCaspariT"/>
          <w:sz w:val="22"/>
          <w:szCs w:val="22"/>
        </w:rPr>
        <w:t>mie</w:t>
      </w:r>
      <w:proofErr w:type="spellEnd"/>
      <w:r w:rsidR="00F524C0">
        <w:rPr>
          <w:rFonts w:ascii="AZGCaspariT" w:hAnsi="AZGCaspariT"/>
          <w:sz w:val="22"/>
          <w:szCs w:val="22"/>
        </w:rPr>
        <w:t xml:space="preserve"> (tintelingen, spierkrampen)</w:t>
      </w:r>
      <w:r w:rsidR="004E2BDE" w:rsidRPr="00A46528">
        <w:rPr>
          <w:rFonts w:ascii="AZGCaspariT" w:hAnsi="AZGCaspariT"/>
          <w:sz w:val="22"/>
          <w:szCs w:val="22"/>
        </w:rPr>
        <w:t>;</w:t>
      </w:r>
    </w:p>
    <w:p w14:paraId="1ED939F9" w14:textId="77777777" w:rsidR="004B4C7F" w:rsidRPr="00A46528" w:rsidRDefault="00834832" w:rsidP="00A46528">
      <w:pPr>
        <w:pStyle w:val="Lijstalinea"/>
        <w:numPr>
          <w:ilvl w:val="0"/>
          <w:numId w:val="14"/>
        </w:numPr>
        <w:rPr>
          <w:rFonts w:ascii="AZGCaspariT" w:hAnsi="AZGCaspariT"/>
          <w:sz w:val="22"/>
          <w:szCs w:val="22"/>
        </w:rPr>
      </w:pPr>
      <w:r w:rsidRPr="00A46528">
        <w:rPr>
          <w:rFonts w:ascii="AZGCaspariT" w:hAnsi="AZGCaspariT"/>
          <w:sz w:val="22"/>
          <w:szCs w:val="22"/>
        </w:rPr>
        <w:t xml:space="preserve">Elektrolyt </w:t>
      </w:r>
      <w:r w:rsidR="004B4C7F" w:rsidRPr="00A46528">
        <w:rPr>
          <w:rFonts w:ascii="AZGCaspariT" w:hAnsi="AZGCaspariT"/>
          <w:sz w:val="22"/>
          <w:szCs w:val="22"/>
        </w:rPr>
        <w:t>stoornissen</w:t>
      </w:r>
      <w:r w:rsidR="004E2BDE" w:rsidRPr="00A46528">
        <w:rPr>
          <w:rFonts w:ascii="AZGCaspariT" w:hAnsi="AZGCaspariT"/>
          <w:sz w:val="22"/>
          <w:szCs w:val="22"/>
        </w:rPr>
        <w:t>;</w:t>
      </w:r>
    </w:p>
    <w:p w14:paraId="0E91CBD1" w14:textId="77777777" w:rsidR="004B4C7F" w:rsidRPr="00A46528" w:rsidRDefault="004B4C7F" w:rsidP="00A46528">
      <w:pPr>
        <w:pStyle w:val="Lijstalinea"/>
        <w:numPr>
          <w:ilvl w:val="0"/>
          <w:numId w:val="14"/>
        </w:numPr>
        <w:rPr>
          <w:rFonts w:ascii="AZGCaspariT" w:hAnsi="AZGCaspariT"/>
          <w:sz w:val="22"/>
          <w:szCs w:val="22"/>
        </w:rPr>
      </w:pPr>
      <w:r w:rsidRPr="00A46528">
        <w:rPr>
          <w:rFonts w:ascii="AZGCaspariT" w:hAnsi="AZGCaspariT"/>
          <w:sz w:val="22"/>
          <w:szCs w:val="22"/>
        </w:rPr>
        <w:t>Hemolyse</w:t>
      </w:r>
      <w:r w:rsidR="004E2BDE" w:rsidRPr="00A46528">
        <w:rPr>
          <w:rFonts w:ascii="AZGCaspariT" w:hAnsi="AZGCaspariT"/>
          <w:sz w:val="22"/>
          <w:szCs w:val="22"/>
        </w:rPr>
        <w:t>;</w:t>
      </w:r>
    </w:p>
    <w:p w14:paraId="0A44D9E9" w14:textId="77777777" w:rsidR="004B4C7F" w:rsidRPr="00A46528" w:rsidRDefault="004B4C7F" w:rsidP="00A46528">
      <w:pPr>
        <w:pStyle w:val="Lijstalinea"/>
        <w:numPr>
          <w:ilvl w:val="0"/>
          <w:numId w:val="14"/>
        </w:numPr>
        <w:rPr>
          <w:rFonts w:ascii="AZGCaspariT" w:hAnsi="AZGCaspariT"/>
          <w:sz w:val="22"/>
          <w:szCs w:val="22"/>
        </w:rPr>
      </w:pPr>
      <w:proofErr w:type="spellStart"/>
      <w:r w:rsidRPr="00A46528">
        <w:rPr>
          <w:rFonts w:ascii="AZGCaspariT" w:hAnsi="AZGCaspariT"/>
          <w:sz w:val="22"/>
          <w:szCs w:val="22"/>
        </w:rPr>
        <w:t>Trombopenie</w:t>
      </w:r>
      <w:proofErr w:type="spellEnd"/>
      <w:r w:rsidR="004E2BDE" w:rsidRPr="00A46528">
        <w:rPr>
          <w:rFonts w:ascii="AZGCaspariT" w:hAnsi="AZGCaspariT"/>
          <w:sz w:val="22"/>
          <w:szCs w:val="22"/>
        </w:rPr>
        <w:t>;</w:t>
      </w:r>
    </w:p>
    <w:p w14:paraId="0E686FFA" w14:textId="77777777" w:rsidR="004B4C7F" w:rsidRPr="00A46528" w:rsidRDefault="004B4C7F" w:rsidP="00A46528">
      <w:pPr>
        <w:pStyle w:val="Lijstalinea"/>
        <w:numPr>
          <w:ilvl w:val="0"/>
          <w:numId w:val="14"/>
        </w:numPr>
        <w:rPr>
          <w:rFonts w:ascii="AZGCaspariT" w:hAnsi="AZGCaspariT"/>
          <w:sz w:val="22"/>
          <w:szCs w:val="22"/>
        </w:rPr>
      </w:pPr>
      <w:r w:rsidRPr="00A46528">
        <w:rPr>
          <w:rFonts w:ascii="AZGCaspariT" w:hAnsi="AZGCaspariT"/>
          <w:sz w:val="22"/>
          <w:szCs w:val="22"/>
        </w:rPr>
        <w:t>Hypotensie</w:t>
      </w:r>
      <w:r w:rsidR="004E2BDE" w:rsidRPr="00A46528">
        <w:rPr>
          <w:rFonts w:ascii="AZGCaspariT" w:hAnsi="AZGCaspariT"/>
          <w:sz w:val="22"/>
          <w:szCs w:val="22"/>
        </w:rPr>
        <w:t>;</w:t>
      </w:r>
    </w:p>
    <w:p w14:paraId="579C835D" w14:textId="77777777" w:rsidR="004B4C7F" w:rsidRPr="00A46528" w:rsidRDefault="004B4C7F" w:rsidP="00A46528">
      <w:pPr>
        <w:pStyle w:val="Lijstalinea"/>
        <w:numPr>
          <w:ilvl w:val="0"/>
          <w:numId w:val="14"/>
        </w:numPr>
        <w:rPr>
          <w:rFonts w:ascii="AZGCaspariT" w:hAnsi="AZGCaspariT"/>
          <w:sz w:val="22"/>
          <w:szCs w:val="22"/>
        </w:rPr>
      </w:pPr>
      <w:r w:rsidRPr="00A46528">
        <w:rPr>
          <w:rFonts w:ascii="AZGCaspariT" w:hAnsi="AZGCaspariT"/>
          <w:sz w:val="22"/>
          <w:szCs w:val="22"/>
        </w:rPr>
        <w:t>Aritmie</w:t>
      </w:r>
      <w:r w:rsidR="004E2BDE" w:rsidRPr="00A46528">
        <w:rPr>
          <w:rFonts w:ascii="AZGCaspariT" w:hAnsi="AZGCaspariT"/>
          <w:sz w:val="22"/>
          <w:szCs w:val="22"/>
        </w:rPr>
        <w:t>;</w:t>
      </w:r>
    </w:p>
    <w:p w14:paraId="2A6873CF" w14:textId="77777777" w:rsidR="00FE3BED" w:rsidRPr="00A46528" w:rsidRDefault="00FE3BED" w:rsidP="00A46528">
      <w:pPr>
        <w:pStyle w:val="Lijstalinea"/>
        <w:numPr>
          <w:ilvl w:val="0"/>
          <w:numId w:val="14"/>
        </w:numPr>
        <w:rPr>
          <w:rFonts w:ascii="AZGCaspariT" w:hAnsi="AZGCaspariT"/>
          <w:sz w:val="22"/>
          <w:szCs w:val="22"/>
        </w:rPr>
      </w:pPr>
      <w:r w:rsidRPr="00A46528">
        <w:rPr>
          <w:rFonts w:ascii="AZGCaspariT" w:hAnsi="AZGCaspariT"/>
          <w:sz w:val="22"/>
          <w:szCs w:val="22"/>
        </w:rPr>
        <w:t>Misselijkheid</w:t>
      </w:r>
      <w:r w:rsidR="004E2BDE" w:rsidRPr="00A46528">
        <w:rPr>
          <w:rFonts w:ascii="AZGCaspariT" w:hAnsi="AZGCaspariT"/>
          <w:sz w:val="22"/>
          <w:szCs w:val="22"/>
        </w:rPr>
        <w:t>;</w:t>
      </w:r>
    </w:p>
    <w:p w14:paraId="042F8AB2" w14:textId="77777777" w:rsidR="00FE3BED" w:rsidRPr="00A46528" w:rsidRDefault="004E2BDE" w:rsidP="00A46528">
      <w:pPr>
        <w:pStyle w:val="Lijstalinea"/>
        <w:numPr>
          <w:ilvl w:val="0"/>
          <w:numId w:val="14"/>
        </w:numPr>
        <w:rPr>
          <w:rFonts w:ascii="AZGCaspariT" w:hAnsi="AZGCaspariT"/>
          <w:sz w:val="22"/>
          <w:szCs w:val="22"/>
        </w:rPr>
      </w:pPr>
      <w:r w:rsidRPr="00A46528">
        <w:rPr>
          <w:rFonts w:ascii="AZGCaspariT" w:hAnsi="AZGCaspariT"/>
          <w:sz w:val="22"/>
          <w:szCs w:val="22"/>
        </w:rPr>
        <w:t>Hoofdpijn.</w:t>
      </w:r>
    </w:p>
    <w:p w14:paraId="2EE86E83" w14:textId="77777777" w:rsidR="00834832" w:rsidRDefault="00834832" w:rsidP="00506707">
      <w:pPr>
        <w:rPr>
          <w:rFonts w:ascii="AZGCaspariT" w:hAnsi="AZGCaspariT"/>
          <w:sz w:val="22"/>
          <w:szCs w:val="22"/>
        </w:rPr>
      </w:pPr>
    </w:p>
    <w:p w14:paraId="25E452A3" w14:textId="77777777" w:rsidR="00834832" w:rsidRDefault="00834832" w:rsidP="00506707">
      <w:pPr>
        <w:rPr>
          <w:rFonts w:ascii="AZGCaspariT" w:hAnsi="AZGCaspariT"/>
          <w:i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        </w:t>
      </w:r>
      <w:r>
        <w:rPr>
          <w:rFonts w:ascii="AZGCaspariT" w:hAnsi="AZGCaspariT"/>
          <w:i/>
          <w:sz w:val="22"/>
          <w:szCs w:val="22"/>
        </w:rPr>
        <w:t>Bijwerkingen na afloop van de procedure</w:t>
      </w:r>
    </w:p>
    <w:p w14:paraId="4342EFC9" w14:textId="77777777" w:rsidR="00834832" w:rsidRPr="00A46528" w:rsidRDefault="00834832" w:rsidP="00A46528">
      <w:pPr>
        <w:pStyle w:val="Lijstalinea"/>
        <w:numPr>
          <w:ilvl w:val="0"/>
          <w:numId w:val="15"/>
        </w:numPr>
        <w:rPr>
          <w:rFonts w:ascii="AZGCaspariT" w:hAnsi="AZGCaspariT"/>
          <w:sz w:val="22"/>
          <w:szCs w:val="22"/>
        </w:rPr>
      </w:pPr>
      <w:r w:rsidRPr="00A46528">
        <w:rPr>
          <w:rFonts w:ascii="AZGCaspariT" w:hAnsi="AZGCaspariT"/>
          <w:sz w:val="22"/>
          <w:szCs w:val="22"/>
        </w:rPr>
        <w:t>Elektrolyt stoornissen</w:t>
      </w:r>
    </w:p>
    <w:p w14:paraId="79F5D12D" w14:textId="77777777" w:rsidR="00834832" w:rsidRPr="00A46528" w:rsidRDefault="00834832" w:rsidP="00A46528">
      <w:pPr>
        <w:pStyle w:val="Lijstalinea"/>
        <w:numPr>
          <w:ilvl w:val="0"/>
          <w:numId w:val="15"/>
        </w:numPr>
        <w:rPr>
          <w:rFonts w:ascii="AZGCaspariT" w:hAnsi="AZGCaspariT"/>
          <w:sz w:val="22"/>
          <w:szCs w:val="22"/>
        </w:rPr>
      </w:pPr>
      <w:r w:rsidRPr="00A46528">
        <w:rPr>
          <w:rFonts w:ascii="AZGCaspariT" w:hAnsi="AZGCaspariT"/>
          <w:sz w:val="22"/>
          <w:szCs w:val="22"/>
        </w:rPr>
        <w:t>Anemie</w:t>
      </w:r>
    </w:p>
    <w:p w14:paraId="66669F69" w14:textId="77777777" w:rsidR="00834832" w:rsidRPr="00A46528" w:rsidRDefault="00834832" w:rsidP="00A46528">
      <w:pPr>
        <w:pStyle w:val="Lijstalinea"/>
        <w:numPr>
          <w:ilvl w:val="0"/>
          <w:numId w:val="15"/>
        </w:numPr>
        <w:rPr>
          <w:rFonts w:ascii="AZGCaspariT" w:hAnsi="AZGCaspariT"/>
          <w:sz w:val="22"/>
          <w:szCs w:val="22"/>
        </w:rPr>
      </w:pPr>
      <w:proofErr w:type="spellStart"/>
      <w:r w:rsidRPr="00A46528">
        <w:rPr>
          <w:rFonts w:ascii="AZGCaspariT" w:hAnsi="AZGCaspariT"/>
          <w:sz w:val="22"/>
          <w:szCs w:val="22"/>
        </w:rPr>
        <w:t>Trombopenie</w:t>
      </w:r>
      <w:proofErr w:type="spellEnd"/>
    </w:p>
    <w:p w14:paraId="09FE66ED" w14:textId="77777777" w:rsidR="00834832" w:rsidRPr="00A46528" w:rsidRDefault="00834832" w:rsidP="00A46528">
      <w:pPr>
        <w:pStyle w:val="Lijstalinea"/>
        <w:numPr>
          <w:ilvl w:val="0"/>
          <w:numId w:val="15"/>
        </w:numPr>
        <w:rPr>
          <w:rFonts w:ascii="AZGCaspariT" w:hAnsi="AZGCaspariT"/>
          <w:sz w:val="22"/>
          <w:szCs w:val="22"/>
        </w:rPr>
      </w:pPr>
      <w:r w:rsidRPr="00A46528">
        <w:rPr>
          <w:rFonts w:ascii="AZGCaspariT" w:hAnsi="AZGCaspariT"/>
          <w:sz w:val="22"/>
          <w:szCs w:val="22"/>
        </w:rPr>
        <w:t>Vermoeidheid</w:t>
      </w:r>
    </w:p>
    <w:p w14:paraId="7FBF3529" w14:textId="77777777" w:rsidR="004B4C7F" w:rsidRPr="00197296" w:rsidRDefault="004B4C7F" w:rsidP="00506707">
      <w:pPr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lastRenderedPageBreak/>
        <w:t xml:space="preserve">        </w:t>
      </w:r>
    </w:p>
    <w:p w14:paraId="65676665" w14:textId="77777777" w:rsidR="004753F9" w:rsidRDefault="004753F9" w:rsidP="00E046DA">
      <w:pPr>
        <w:rPr>
          <w:rFonts w:ascii="AZGCaspariT" w:hAnsi="AZGCaspariT"/>
          <w:b/>
          <w:sz w:val="22"/>
          <w:szCs w:val="22"/>
        </w:rPr>
      </w:pPr>
    </w:p>
    <w:p w14:paraId="4AD01E50" w14:textId="77777777" w:rsidR="0013010D" w:rsidRDefault="0013010D" w:rsidP="00E046DA">
      <w:pPr>
        <w:rPr>
          <w:rFonts w:ascii="AZGCaspariT" w:hAnsi="AZGCaspariT"/>
          <w:b/>
          <w:sz w:val="22"/>
          <w:szCs w:val="22"/>
        </w:rPr>
      </w:pPr>
    </w:p>
    <w:p w14:paraId="2D27B2F0" w14:textId="77777777" w:rsidR="00515684" w:rsidRDefault="00515684" w:rsidP="00E046DA">
      <w:pPr>
        <w:rPr>
          <w:rFonts w:ascii="AZGCaspariT" w:hAnsi="AZGCaspariT"/>
          <w:b/>
          <w:sz w:val="22"/>
          <w:szCs w:val="22"/>
        </w:rPr>
      </w:pPr>
    </w:p>
    <w:p w14:paraId="67086CCA" w14:textId="77777777" w:rsidR="0013010D" w:rsidRDefault="0013010D" w:rsidP="00E046DA">
      <w:pPr>
        <w:rPr>
          <w:rFonts w:ascii="AZGCaspariT" w:hAnsi="AZGCaspariT"/>
          <w:b/>
          <w:sz w:val="22"/>
          <w:szCs w:val="22"/>
        </w:rPr>
      </w:pPr>
    </w:p>
    <w:p w14:paraId="494265C9" w14:textId="77777777" w:rsidR="00515684" w:rsidRPr="00197296" w:rsidRDefault="00515684" w:rsidP="00E046DA">
      <w:pPr>
        <w:rPr>
          <w:rFonts w:ascii="AZGCaspariT" w:hAnsi="AZGCaspariT"/>
          <w:b/>
          <w:sz w:val="22"/>
          <w:szCs w:val="22"/>
        </w:rPr>
      </w:pPr>
    </w:p>
    <w:p w14:paraId="1347B926" w14:textId="77777777" w:rsidR="004753F9" w:rsidRPr="00197296" w:rsidRDefault="004753F9" w:rsidP="000F35DE">
      <w:pPr>
        <w:numPr>
          <w:ilvl w:val="0"/>
          <w:numId w:val="3"/>
        </w:numPr>
        <w:rPr>
          <w:rFonts w:ascii="AZGCaspariT" w:hAnsi="AZGCaspariT"/>
          <w:b/>
          <w:sz w:val="22"/>
          <w:szCs w:val="22"/>
        </w:rPr>
      </w:pPr>
      <w:r w:rsidRPr="00197296">
        <w:rPr>
          <w:rFonts w:ascii="AZGCaspariT" w:hAnsi="AZGCaspariT"/>
          <w:b/>
          <w:sz w:val="22"/>
          <w:szCs w:val="22"/>
        </w:rPr>
        <w:t>Verantwoordelijkheden en bevoegdheden</w:t>
      </w:r>
    </w:p>
    <w:p w14:paraId="41969436" w14:textId="77777777" w:rsidR="00C46D4F" w:rsidRDefault="00C46D4F" w:rsidP="003475C6">
      <w:pPr>
        <w:ind w:left="360"/>
        <w:rPr>
          <w:rFonts w:ascii="AZGCaspariT" w:hAnsi="AZGCaspariT"/>
          <w:sz w:val="22"/>
          <w:szCs w:val="22"/>
        </w:rPr>
      </w:pPr>
      <w:r w:rsidRPr="00197296">
        <w:rPr>
          <w:rFonts w:ascii="AZGCaspariT" w:hAnsi="AZGCaspariT"/>
          <w:sz w:val="22"/>
          <w:szCs w:val="22"/>
        </w:rPr>
        <w:t>De</w:t>
      </w:r>
      <w:r w:rsidR="00AB5D77">
        <w:rPr>
          <w:rFonts w:ascii="AZGCaspariT" w:hAnsi="AZGCaspariT"/>
          <w:sz w:val="22"/>
          <w:szCs w:val="22"/>
        </w:rPr>
        <w:t xml:space="preserve"> donorkeuring en de afer</w:t>
      </w:r>
      <w:r w:rsidR="00E077E3">
        <w:rPr>
          <w:rFonts w:ascii="AZGCaspariT" w:hAnsi="AZGCaspariT"/>
          <w:sz w:val="22"/>
          <w:szCs w:val="22"/>
        </w:rPr>
        <w:t>e</w:t>
      </w:r>
      <w:r w:rsidR="00AB5D77">
        <w:rPr>
          <w:rFonts w:ascii="AZGCaspariT" w:hAnsi="AZGCaspariT"/>
          <w:sz w:val="22"/>
          <w:szCs w:val="22"/>
        </w:rPr>
        <w:t>seprocedure zijn de</w:t>
      </w:r>
      <w:r w:rsidR="00F524C0">
        <w:rPr>
          <w:rFonts w:ascii="AZGCaspariT" w:hAnsi="AZGCaspariT"/>
          <w:sz w:val="22"/>
          <w:szCs w:val="22"/>
        </w:rPr>
        <w:t xml:space="preserve"> gezamenlijke</w:t>
      </w:r>
      <w:r w:rsidR="00AB5D77">
        <w:rPr>
          <w:rFonts w:ascii="AZGCaspariT" w:hAnsi="AZGCaspariT"/>
          <w:sz w:val="22"/>
          <w:szCs w:val="22"/>
        </w:rPr>
        <w:t xml:space="preserve"> verantwoordel</w:t>
      </w:r>
      <w:r w:rsidR="00F524C0">
        <w:rPr>
          <w:rFonts w:ascii="AZGCaspariT" w:hAnsi="AZGCaspariT"/>
          <w:sz w:val="22"/>
          <w:szCs w:val="22"/>
        </w:rPr>
        <w:t xml:space="preserve">ijkheid van </w:t>
      </w:r>
      <w:proofErr w:type="spellStart"/>
      <w:r w:rsidR="00F524C0">
        <w:rPr>
          <w:rFonts w:ascii="AZGCaspariT" w:hAnsi="AZGCaspariT"/>
          <w:sz w:val="22"/>
          <w:szCs w:val="22"/>
        </w:rPr>
        <w:t>Sanquin</w:t>
      </w:r>
      <w:proofErr w:type="spellEnd"/>
      <w:r w:rsidR="00F524C0">
        <w:rPr>
          <w:rFonts w:ascii="AZGCaspariT" w:hAnsi="AZGCaspariT"/>
          <w:sz w:val="22"/>
          <w:szCs w:val="22"/>
        </w:rPr>
        <w:t xml:space="preserve"> Bloedbank en</w:t>
      </w:r>
      <w:r w:rsidR="00AB5D77">
        <w:rPr>
          <w:rFonts w:ascii="AZGCaspariT" w:hAnsi="AZGCaspariT"/>
          <w:sz w:val="22"/>
          <w:szCs w:val="22"/>
        </w:rPr>
        <w:t xml:space="preserve"> afdeling Hematologie </w:t>
      </w:r>
      <w:r w:rsidR="00F524C0">
        <w:rPr>
          <w:rFonts w:ascii="AZGCaspariT" w:hAnsi="AZGCaspariT"/>
          <w:sz w:val="22"/>
          <w:szCs w:val="22"/>
        </w:rPr>
        <w:t xml:space="preserve">(afhankelijk wie de procedure gaat uitvoeren) Het UMCG </w:t>
      </w:r>
      <w:r w:rsidR="00AB5D77">
        <w:rPr>
          <w:rFonts w:ascii="AZGCaspariT" w:hAnsi="AZGCaspariT"/>
          <w:sz w:val="22"/>
          <w:szCs w:val="22"/>
        </w:rPr>
        <w:t xml:space="preserve">faciliteert de ruimte en de </w:t>
      </w:r>
      <w:r w:rsidR="00AB5D77">
        <w:rPr>
          <w:rFonts w:ascii="AZGCaspariT" w:hAnsi="AZGCaspariT"/>
          <w:color w:val="221213"/>
          <w:sz w:val="22"/>
          <w:szCs w:val="22"/>
        </w:rPr>
        <w:t xml:space="preserve"> v</w:t>
      </w:r>
      <w:r w:rsidR="00AB5D77" w:rsidRPr="000A431F">
        <w:rPr>
          <w:rFonts w:ascii="AZGCaspariT" w:hAnsi="AZGCaspariT"/>
          <w:color w:val="221213"/>
          <w:sz w:val="22"/>
          <w:szCs w:val="22"/>
        </w:rPr>
        <w:t>erpleegkundige- en medische begeleiding</w:t>
      </w:r>
      <w:r w:rsidR="0013010D">
        <w:rPr>
          <w:rFonts w:ascii="AZGCaspariT" w:hAnsi="AZGCaspariT"/>
          <w:sz w:val="22"/>
          <w:szCs w:val="22"/>
        </w:rPr>
        <w:t>.</w:t>
      </w:r>
      <w:r w:rsidR="001114F2">
        <w:rPr>
          <w:rFonts w:ascii="AZGCaspariT" w:hAnsi="AZGCaspariT"/>
          <w:sz w:val="22"/>
          <w:szCs w:val="22"/>
        </w:rPr>
        <w:t xml:space="preserve"> </w:t>
      </w:r>
      <w:r w:rsidR="00F524C0">
        <w:rPr>
          <w:rFonts w:ascii="AZGCaspariT" w:hAnsi="AZGCaspariT"/>
          <w:sz w:val="22"/>
          <w:szCs w:val="22"/>
        </w:rPr>
        <w:t>Voor de keuring van de</w:t>
      </w:r>
      <w:r w:rsidR="00256826">
        <w:rPr>
          <w:rFonts w:ascii="AZGCaspariT" w:hAnsi="AZGCaspariT"/>
          <w:sz w:val="22"/>
          <w:szCs w:val="22"/>
        </w:rPr>
        <w:t xml:space="preserve"> </w:t>
      </w:r>
      <w:r w:rsidR="001114F2">
        <w:rPr>
          <w:rFonts w:ascii="AZGCaspariT" w:hAnsi="AZGCaspariT"/>
          <w:sz w:val="22"/>
          <w:szCs w:val="22"/>
        </w:rPr>
        <w:t xml:space="preserve">autologe </w:t>
      </w:r>
      <w:r w:rsidR="00483007">
        <w:rPr>
          <w:rFonts w:ascii="AZGCaspariT" w:hAnsi="AZGCaspariT"/>
          <w:sz w:val="22"/>
          <w:szCs w:val="22"/>
        </w:rPr>
        <w:t xml:space="preserve">donoren </w:t>
      </w:r>
      <w:r w:rsidR="001114F2">
        <w:rPr>
          <w:rFonts w:ascii="AZGCaspariT" w:hAnsi="AZGCaspariT"/>
          <w:sz w:val="22"/>
          <w:szCs w:val="22"/>
        </w:rPr>
        <w:t xml:space="preserve">(= patiënten) </w:t>
      </w:r>
      <w:r w:rsidR="00483007">
        <w:rPr>
          <w:rFonts w:ascii="AZGCaspariT" w:hAnsi="AZGCaspariT"/>
          <w:sz w:val="22"/>
          <w:szCs w:val="22"/>
        </w:rPr>
        <w:t>ligt de eindverantw</w:t>
      </w:r>
      <w:r w:rsidR="00ED78E6">
        <w:rPr>
          <w:rFonts w:ascii="AZGCaspariT" w:hAnsi="AZGCaspariT"/>
          <w:sz w:val="22"/>
          <w:szCs w:val="22"/>
        </w:rPr>
        <w:t xml:space="preserve">oordelijkheid bij </w:t>
      </w:r>
      <w:r w:rsidR="001114F2">
        <w:rPr>
          <w:rFonts w:ascii="AZGCaspariT" w:hAnsi="AZGCaspariT"/>
          <w:sz w:val="22"/>
          <w:szCs w:val="22"/>
        </w:rPr>
        <w:t xml:space="preserve">de </w:t>
      </w:r>
      <w:r w:rsidR="00AB5D77">
        <w:rPr>
          <w:rFonts w:ascii="AZGCaspariT" w:hAnsi="AZGCaspariT"/>
          <w:sz w:val="22"/>
          <w:szCs w:val="22"/>
        </w:rPr>
        <w:t xml:space="preserve">hoofdbehandelaar </w:t>
      </w:r>
      <w:r w:rsidR="001114F2">
        <w:rPr>
          <w:rFonts w:ascii="AZGCaspariT" w:hAnsi="AZGCaspariT"/>
          <w:sz w:val="22"/>
          <w:szCs w:val="22"/>
        </w:rPr>
        <w:t xml:space="preserve">arts. Voor de keuring van allogene donoren ligt de eindverantwoordelijkheid bij een </w:t>
      </w:r>
      <w:r w:rsidR="00ED78E6">
        <w:rPr>
          <w:rFonts w:ascii="AZGCaspariT" w:hAnsi="AZGCaspariT"/>
          <w:sz w:val="22"/>
          <w:szCs w:val="22"/>
        </w:rPr>
        <w:t>hiervoor door de af</w:t>
      </w:r>
      <w:r w:rsidR="00256826">
        <w:rPr>
          <w:rFonts w:ascii="AZGCaspariT" w:hAnsi="AZGCaspariT"/>
          <w:sz w:val="22"/>
          <w:szCs w:val="22"/>
        </w:rPr>
        <w:t>deling hematologie aangewezen</w:t>
      </w:r>
      <w:r w:rsidR="00023ED0">
        <w:rPr>
          <w:rFonts w:ascii="AZGCaspariT" w:hAnsi="AZGCaspariT"/>
          <w:sz w:val="22"/>
          <w:szCs w:val="22"/>
        </w:rPr>
        <w:t xml:space="preserve"> </w:t>
      </w:r>
      <w:r w:rsidR="00ED78E6">
        <w:rPr>
          <w:rFonts w:ascii="AZGCaspariT" w:hAnsi="AZGCaspariT"/>
          <w:sz w:val="22"/>
          <w:szCs w:val="22"/>
        </w:rPr>
        <w:t>internist-hematoloog, niet zijnde betrokken bij de behandeling van de patiënt waarvoor aspirant donor gekeurd wordt.</w:t>
      </w:r>
      <w:r w:rsidR="00256826">
        <w:rPr>
          <w:rFonts w:ascii="AZGCaspariT" w:hAnsi="AZGCaspariT"/>
          <w:sz w:val="22"/>
          <w:szCs w:val="22"/>
        </w:rPr>
        <w:t xml:space="preserve"> De keuring kan gedelegeerd worden aan een daarvoor geschoolde verpleegkundig specialist (VS) of verpleegkundige in opleiding tot specialist </w:t>
      </w:r>
      <w:proofErr w:type="spellStart"/>
      <w:r w:rsidR="00256826">
        <w:rPr>
          <w:rFonts w:ascii="AZGCaspariT" w:hAnsi="AZGCaspariT"/>
          <w:sz w:val="22"/>
          <w:szCs w:val="22"/>
        </w:rPr>
        <w:t>Vios</w:t>
      </w:r>
      <w:proofErr w:type="spellEnd"/>
      <w:r w:rsidR="00256826">
        <w:rPr>
          <w:rFonts w:ascii="AZGCaspariT" w:hAnsi="AZGCaspariT"/>
          <w:sz w:val="22"/>
          <w:szCs w:val="22"/>
        </w:rPr>
        <w:t>) of Hematoloog in opleiding (Hio)</w:t>
      </w:r>
    </w:p>
    <w:p w14:paraId="48C0B84E" w14:textId="77777777" w:rsidR="00B322ED" w:rsidRPr="00197296" w:rsidRDefault="00B322ED" w:rsidP="003475C6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De keuring vooraf aan </w:t>
      </w:r>
      <w:r w:rsidR="00664DEF">
        <w:rPr>
          <w:rFonts w:ascii="AZGCaspariT" w:hAnsi="AZGCaspariT"/>
          <w:sz w:val="22"/>
          <w:szCs w:val="22"/>
        </w:rPr>
        <w:t xml:space="preserve">start van de </w:t>
      </w:r>
      <w:r>
        <w:rPr>
          <w:rFonts w:ascii="AZGCaspariT" w:hAnsi="AZGCaspariT"/>
          <w:sz w:val="22"/>
          <w:szCs w:val="22"/>
        </w:rPr>
        <w:t>aferese wordt uitgevoerd door een</w:t>
      </w:r>
      <w:r w:rsidR="00023ED0" w:rsidRPr="00023ED0">
        <w:rPr>
          <w:rFonts w:ascii="AZGCaspariT" w:hAnsi="AZGCaspariT"/>
          <w:sz w:val="22"/>
          <w:szCs w:val="22"/>
        </w:rPr>
        <w:t xml:space="preserve"> </w:t>
      </w:r>
      <w:r w:rsidR="00256826">
        <w:rPr>
          <w:rFonts w:ascii="AZGCaspariT" w:hAnsi="AZGCaspariT"/>
          <w:sz w:val="22"/>
          <w:szCs w:val="22"/>
        </w:rPr>
        <w:t xml:space="preserve">hematoloog , een Hio, VS / </w:t>
      </w:r>
      <w:proofErr w:type="spellStart"/>
      <w:r w:rsidR="00256826">
        <w:rPr>
          <w:rFonts w:ascii="AZGCaspariT" w:hAnsi="AZGCaspariT"/>
          <w:sz w:val="22"/>
          <w:szCs w:val="22"/>
        </w:rPr>
        <w:t>Vios</w:t>
      </w:r>
      <w:proofErr w:type="spellEnd"/>
      <w:r w:rsidR="00256826">
        <w:rPr>
          <w:rFonts w:ascii="AZGCaspariT" w:hAnsi="AZGCaspariT"/>
          <w:sz w:val="22"/>
          <w:szCs w:val="22"/>
        </w:rPr>
        <w:t xml:space="preserve"> </w:t>
      </w:r>
      <w:r w:rsidR="00023ED0">
        <w:rPr>
          <w:rFonts w:ascii="AZGCaspariT" w:hAnsi="AZGCaspariT"/>
          <w:sz w:val="22"/>
          <w:szCs w:val="22"/>
        </w:rPr>
        <w:t xml:space="preserve">hematologie </w:t>
      </w:r>
      <w:r>
        <w:rPr>
          <w:rFonts w:ascii="AZGCaspariT" w:hAnsi="AZGCaspariT"/>
          <w:sz w:val="22"/>
          <w:szCs w:val="22"/>
        </w:rPr>
        <w:t xml:space="preserve"> </w:t>
      </w:r>
      <w:r w:rsidR="00023ED0" w:rsidRPr="00023ED0">
        <w:rPr>
          <w:rFonts w:ascii="AZGCaspariT" w:hAnsi="AZGCaspariT"/>
          <w:sz w:val="22"/>
          <w:szCs w:val="22"/>
        </w:rPr>
        <w:t xml:space="preserve">onder supervisie van </w:t>
      </w:r>
      <w:r w:rsidR="00023ED0">
        <w:rPr>
          <w:rFonts w:ascii="AZGCaspariT" w:hAnsi="AZGCaspariT"/>
          <w:sz w:val="22"/>
          <w:szCs w:val="22"/>
        </w:rPr>
        <w:t xml:space="preserve">een </w:t>
      </w:r>
      <w:r w:rsidR="001114F2">
        <w:rPr>
          <w:rFonts w:ascii="AZGCaspariT" w:hAnsi="AZGCaspariT"/>
          <w:sz w:val="22"/>
          <w:szCs w:val="22"/>
        </w:rPr>
        <w:t>h</w:t>
      </w:r>
      <w:r>
        <w:rPr>
          <w:rFonts w:ascii="AZGCaspariT" w:hAnsi="AZGCaspariT"/>
          <w:sz w:val="22"/>
          <w:szCs w:val="22"/>
        </w:rPr>
        <w:t>ematoloog</w:t>
      </w:r>
      <w:r w:rsidR="00256826">
        <w:rPr>
          <w:rFonts w:ascii="AZGCaspariT" w:hAnsi="AZGCaspariT"/>
          <w:sz w:val="22"/>
          <w:szCs w:val="22"/>
        </w:rPr>
        <w:t xml:space="preserve">  de Hio, de </w:t>
      </w:r>
      <w:r w:rsidR="00023ED0">
        <w:rPr>
          <w:rFonts w:ascii="AZGCaspariT" w:hAnsi="AZGCaspariT"/>
          <w:sz w:val="22"/>
          <w:szCs w:val="22"/>
        </w:rPr>
        <w:t xml:space="preserve">VS </w:t>
      </w:r>
      <w:r w:rsidR="00256826">
        <w:rPr>
          <w:rFonts w:ascii="AZGCaspariT" w:hAnsi="AZGCaspariT"/>
          <w:sz w:val="22"/>
          <w:szCs w:val="22"/>
        </w:rPr>
        <w:t xml:space="preserve">en de </w:t>
      </w:r>
      <w:proofErr w:type="spellStart"/>
      <w:r w:rsidR="00256826">
        <w:rPr>
          <w:rFonts w:ascii="AZGCaspariT" w:hAnsi="AZGCaspariT"/>
          <w:sz w:val="22"/>
          <w:szCs w:val="22"/>
        </w:rPr>
        <w:t>Vios</w:t>
      </w:r>
      <w:proofErr w:type="spellEnd"/>
      <w:r w:rsidR="00256826">
        <w:rPr>
          <w:rFonts w:ascii="AZGCaspariT" w:hAnsi="AZGCaspariT"/>
          <w:sz w:val="22"/>
          <w:szCs w:val="22"/>
        </w:rPr>
        <w:t xml:space="preserve"> </w:t>
      </w:r>
      <w:r w:rsidR="00023ED0">
        <w:rPr>
          <w:rFonts w:ascii="AZGCaspariT" w:hAnsi="AZGCaspariT"/>
          <w:sz w:val="22"/>
          <w:szCs w:val="22"/>
        </w:rPr>
        <w:t xml:space="preserve">zijn </w:t>
      </w:r>
      <w:r>
        <w:rPr>
          <w:rFonts w:ascii="AZGCaspariT" w:hAnsi="AZGCaspariT"/>
          <w:sz w:val="22"/>
          <w:szCs w:val="22"/>
        </w:rPr>
        <w:t xml:space="preserve"> geschoold/ getraind zijn om de </w:t>
      </w:r>
      <w:r w:rsidR="00664DEF">
        <w:rPr>
          <w:rFonts w:ascii="AZGCaspariT" w:hAnsi="AZGCaspariT"/>
          <w:sz w:val="22"/>
          <w:szCs w:val="22"/>
        </w:rPr>
        <w:t xml:space="preserve">autologe (= </w:t>
      </w:r>
      <w:r>
        <w:rPr>
          <w:rFonts w:ascii="AZGCaspariT" w:hAnsi="AZGCaspariT"/>
          <w:sz w:val="22"/>
          <w:szCs w:val="22"/>
        </w:rPr>
        <w:t>patiënt</w:t>
      </w:r>
      <w:r w:rsidR="00664DEF">
        <w:rPr>
          <w:rFonts w:ascii="AZGCaspariT" w:hAnsi="AZGCaspariT"/>
          <w:sz w:val="22"/>
          <w:szCs w:val="22"/>
        </w:rPr>
        <w:t>)</w:t>
      </w:r>
      <w:r w:rsidR="001114F2">
        <w:rPr>
          <w:rFonts w:ascii="AZGCaspariT" w:hAnsi="AZGCaspariT"/>
          <w:sz w:val="22"/>
          <w:szCs w:val="22"/>
        </w:rPr>
        <w:t xml:space="preserve"> </w:t>
      </w:r>
      <w:r w:rsidR="00664DEF">
        <w:rPr>
          <w:rFonts w:ascii="AZGCaspariT" w:hAnsi="AZGCaspariT"/>
          <w:sz w:val="22"/>
          <w:szCs w:val="22"/>
        </w:rPr>
        <w:t>of allogene</w:t>
      </w:r>
      <w:r>
        <w:rPr>
          <w:rFonts w:ascii="AZGCaspariT" w:hAnsi="AZGCaspariT"/>
          <w:sz w:val="22"/>
          <w:szCs w:val="22"/>
        </w:rPr>
        <w:t xml:space="preserve"> donor vooraf aan de procedure medisch te beoordelen.</w:t>
      </w:r>
    </w:p>
    <w:p w14:paraId="246B5643" w14:textId="77777777" w:rsidR="00D10894" w:rsidRDefault="00F524C0" w:rsidP="00B322ED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De procedure wordt uitgevoerd door de </w:t>
      </w:r>
      <w:r w:rsidR="00256826">
        <w:rPr>
          <w:rFonts w:ascii="AZGCaspariT" w:hAnsi="AZGCaspariT"/>
          <w:sz w:val="22"/>
          <w:szCs w:val="22"/>
        </w:rPr>
        <w:t>verpleegkundig consulenten (VC) van de afdeling hematologie van het UMCG of d</w:t>
      </w:r>
      <w:r w:rsidR="00C46D4F" w:rsidRPr="00197296">
        <w:rPr>
          <w:rFonts w:ascii="AZGCaspariT" w:hAnsi="AZGCaspariT"/>
          <w:sz w:val="22"/>
          <w:szCs w:val="22"/>
        </w:rPr>
        <w:t>e medewerkers van</w:t>
      </w:r>
      <w:r w:rsidR="00967A5A">
        <w:rPr>
          <w:rFonts w:ascii="AZGCaspariT" w:hAnsi="AZGCaspariT"/>
          <w:sz w:val="22"/>
          <w:szCs w:val="22"/>
        </w:rPr>
        <w:t xml:space="preserve"> het </w:t>
      </w:r>
      <w:r w:rsidR="001114F2">
        <w:rPr>
          <w:rFonts w:ascii="AZGCaspariT" w:hAnsi="AZGCaspariT"/>
          <w:sz w:val="22"/>
          <w:szCs w:val="22"/>
        </w:rPr>
        <w:t>Bijzondere Afname Team (</w:t>
      </w:r>
      <w:r w:rsidR="00967A5A">
        <w:rPr>
          <w:rFonts w:ascii="AZGCaspariT" w:hAnsi="AZGCaspariT"/>
          <w:sz w:val="22"/>
          <w:szCs w:val="22"/>
        </w:rPr>
        <w:t>BAT</w:t>
      </w:r>
      <w:r w:rsidR="001114F2">
        <w:rPr>
          <w:rFonts w:ascii="AZGCaspariT" w:hAnsi="AZGCaspariT"/>
          <w:sz w:val="22"/>
          <w:szCs w:val="22"/>
        </w:rPr>
        <w:t>)</w:t>
      </w:r>
      <w:r w:rsidR="00967A5A">
        <w:rPr>
          <w:rFonts w:ascii="AZGCaspariT" w:hAnsi="AZGCaspariT"/>
          <w:sz w:val="22"/>
          <w:szCs w:val="22"/>
        </w:rPr>
        <w:t xml:space="preserve"> van de </w:t>
      </w:r>
      <w:proofErr w:type="spellStart"/>
      <w:r w:rsidR="00967A5A">
        <w:rPr>
          <w:rFonts w:ascii="AZGCaspariT" w:hAnsi="AZGCaspariT"/>
          <w:sz w:val="22"/>
          <w:szCs w:val="22"/>
        </w:rPr>
        <w:t>Sanquin</w:t>
      </w:r>
      <w:proofErr w:type="spellEnd"/>
      <w:r w:rsidR="00967A5A">
        <w:rPr>
          <w:rFonts w:ascii="AZGCaspariT" w:hAnsi="AZGCaspariT"/>
          <w:sz w:val="22"/>
          <w:szCs w:val="22"/>
        </w:rPr>
        <w:t xml:space="preserve"> bloedbank</w:t>
      </w:r>
      <w:r w:rsidR="00256826">
        <w:rPr>
          <w:rFonts w:ascii="AZGCaspariT" w:hAnsi="AZGCaspariT"/>
          <w:sz w:val="22"/>
          <w:szCs w:val="22"/>
        </w:rPr>
        <w:t>, die hiervoor geschoold en bevoegd zijn.</w:t>
      </w:r>
      <w:r w:rsidR="00B322ED">
        <w:rPr>
          <w:rFonts w:ascii="AZGCaspariT" w:hAnsi="AZGCaspariT"/>
          <w:sz w:val="22"/>
          <w:szCs w:val="22"/>
        </w:rPr>
        <w:t xml:space="preserve"> De Verpleegkundig c</w:t>
      </w:r>
      <w:r w:rsidR="00967A5A">
        <w:rPr>
          <w:rFonts w:ascii="AZGCaspariT" w:hAnsi="AZGCaspariT"/>
          <w:sz w:val="22"/>
          <w:szCs w:val="22"/>
        </w:rPr>
        <w:t>onsulent</w:t>
      </w:r>
      <w:r w:rsidR="00B322ED">
        <w:rPr>
          <w:rFonts w:ascii="AZGCaspariT" w:hAnsi="AZGCaspariT"/>
          <w:sz w:val="22"/>
          <w:szCs w:val="22"/>
        </w:rPr>
        <w:t xml:space="preserve">en (VC) van het transplantatie team hematologie ondersteunen de medewerkers van het BAT bij het aansluiten, tijdens en bij het afsluiten van de aferese procedure. </w:t>
      </w:r>
      <w:r w:rsidR="001114F2">
        <w:rPr>
          <w:rFonts w:ascii="AZGCaspariT" w:hAnsi="AZGCaspariT"/>
          <w:sz w:val="22"/>
          <w:szCs w:val="22"/>
        </w:rPr>
        <w:t xml:space="preserve">Tijdens de procedure blijft het UMCG verantwoordelijk </w:t>
      </w:r>
      <w:r w:rsidR="00023ED0">
        <w:rPr>
          <w:rFonts w:ascii="AZGCaspariT" w:hAnsi="AZGCaspariT"/>
          <w:sz w:val="22"/>
          <w:szCs w:val="22"/>
        </w:rPr>
        <w:t xml:space="preserve">voor de medische en verpleegkundige begeleiding van </w:t>
      </w:r>
      <w:r w:rsidR="00256826">
        <w:rPr>
          <w:rFonts w:ascii="AZGCaspariT" w:hAnsi="AZGCaspariT"/>
          <w:sz w:val="22"/>
          <w:szCs w:val="22"/>
        </w:rPr>
        <w:t xml:space="preserve"> de </w:t>
      </w:r>
      <w:r w:rsidR="001114F2">
        <w:rPr>
          <w:rFonts w:ascii="AZGCaspariT" w:hAnsi="AZGCaspariT"/>
          <w:sz w:val="22"/>
          <w:szCs w:val="22"/>
        </w:rPr>
        <w:t>donor</w:t>
      </w:r>
      <w:r w:rsidR="00096BA4">
        <w:rPr>
          <w:rFonts w:ascii="AZGCaspariT" w:hAnsi="AZGCaspariT"/>
          <w:sz w:val="22"/>
          <w:szCs w:val="22"/>
        </w:rPr>
        <w:t>.</w:t>
      </w:r>
    </w:p>
    <w:p w14:paraId="44D91E95" w14:textId="77777777" w:rsidR="00B322ED" w:rsidRPr="00197296" w:rsidRDefault="00B322ED" w:rsidP="00B322ED">
      <w:pPr>
        <w:ind w:left="360"/>
        <w:rPr>
          <w:rFonts w:ascii="AZGCaspariT" w:hAnsi="AZGCaspariT"/>
          <w:b/>
          <w:sz w:val="22"/>
          <w:szCs w:val="22"/>
        </w:rPr>
      </w:pPr>
    </w:p>
    <w:p w14:paraId="58771697" w14:textId="77777777" w:rsidR="004753F9" w:rsidRPr="00197296" w:rsidRDefault="004753F9" w:rsidP="00192831">
      <w:pPr>
        <w:numPr>
          <w:ilvl w:val="0"/>
          <w:numId w:val="3"/>
        </w:numPr>
        <w:rPr>
          <w:rFonts w:ascii="AZGCaspariT" w:hAnsi="AZGCaspariT"/>
          <w:sz w:val="22"/>
          <w:szCs w:val="22"/>
        </w:rPr>
      </w:pPr>
      <w:r w:rsidRPr="00197296">
        <w:rPr>
          <w:rFonts w:ascii="AZGCaspariT" w:hAnsi="AZGCaspariT"/>
          <w:b/>
          <w:sz w:val="22"/>
          <w:szCs w:val="22"/>
        </w:rPr>
        <w:t>Werkwijze</w:t>
      </w:r>
      <w:r w:rsidRPr="00197296">
        <w:rPr>
          <w:rFonts w:ascii="AZGCaspariT" w:hAnsi="AZGCaspariT"/>
          <w:sz w:val="22"/>
          <w:szCs w:val="22"/>
        </w:rPr>
        <w:t xml:space="preserve"> </w:t>
      </w:r>
    </w:p>
    <w:p w14:paraId="6BAA7E3D" w14:textId="77777777" w:rsidR="00256826" w:rsidRDefault="00256826" w:rsidP="003475C6">
      <w:pPr>
        <w:ind w:left="360"/>
        <w:rPr>
          <w:rFonts w:ascii="AZGCaspariT" w:hAnsi="AZGCaspariT"/>
          <w:i/>
          <w:sz w:val="22"/>
          <w:szCs w:val="22"/>
        </w:rPr>
      </w:pPr>
      <w:r>
        <w:rPr>
          <w:rFonts w:ascii="AZGCaspariT" w:hAnsi="AZGCaspariT"/>
          <w:i/>
          <w:sz w:val="22"/>
          <w:szCs w:val="22"/>
        </w:rPr>
        <w:t>Aanmelden patiënt bij afname door transplantatie team hematologie:</w:t>
      </w:r>
    </w:p>
    <w:p w14:paraId="06B9CCC5" w14:textId="77777777" w:rsidR="00256826" w:rsidRDefault="00256826" w:rsidP="003475C6">
      <w:pPr>
        <w:ind w:left="360"/>
        <w:rPr>
          <w:rFonts w:ascii="AZGCaspariT" w:hAnsi="AZGCaspariT"/>
          <w:i/>
          <w:sz w:val="22"/>
          <w:szCs w:val="22"/>
        </w:rPr>
      </w:pPr>
    </w:p>
    <w:p w14:paraId="20F1568B" w14:textId="77777777" w:rsidR="00256826" w:rsidRDefault="00256826" w:rsidP="003475C6">
      <w:pPr>
        <w:ind w:left="360"/>
        <w:rPr>
          <w:rFonts w:ascii="AZGCaspariT" w:hAnsi="AZGCaspariT"/>
          <w:i/>
          <w:sz w:val="22"/>
          <w:szCs w:val="22"/>
        </w:rPr>
      </w:pPr>
    </w:p>
    <w:p w14:paraId="6591D614" w14:textId="77777777" w:rsidR="004B668B" w:rsidRPr="00197296" w:rsidRDefault="00256826" w:rsidP="003475C6">
      <w:pPr>
        <w:ind w:left="360"/>
        <w:rPr>
          <w:rFonts w:ascii="AZGCaspariT" w:hAnsi="AZGCaspariT"/>
          <w:i/>
          <w:sz w:val="22"/>
          <w:szCs w:val="22"/>
        </w:rPr>
      </w:pPr>
      <w:r>
        <w:rPr>
          <w:rFonts w:ascii="AZGCaspariT" w:hAnsi="AZGCaspariT"/>
          <w:i/>
          <w:sz w:val="22"/>
          <w:szCs w:val="22"/>
        </w:rPr>
        <w:t xml:space="preserve">Aanmelden patiënt bij afname door </w:t>
      </w:r>
      <w:proofErr w:type="spellStart"/>
      <w:r>
        <w:rPr>
          <w:rFonts w:ascii="AZGCaspariT" w:hAnsi="AZGCaspariT"/>
          <w:i/>
          <w:sz w:val="22"/>
          <w:szCs w:val="22"/>
        </w:rPr>
        <w:t>Sanquin</w:t>
      </w:r>
      <w:proofErr w:type="spellEnd"/>
      <w:r>
        <w:rPr>
          <w:rFonts w:ascii="AZGCaspariT" w:hAnsi="AZGCaspariT"/>
          <w:i/>
          <w:sz w:val="22"/>
          <w:szCs w:val="22"/>
        </w:rPr>
        <w:t>:</w:t>
      </w:r>
    </w:p>
    <w:p w14:paraId="26CEB753" w14:textId="77777777" w:rsidR="00B322ED" w:rsidRDefault="004753F9" w:rsidP="003475C6">
      <w:pPr>
        <w:ind w:left="360"/>
        <w:rPr>
          <w:rFonts w:ascii="AZGCaspariT" w:hAnsi="AZGCaspariT"/>
          <w:sz w:val="22"/>
          <w:szCs w:val="22"/>
        </w:rPr>
      </w:pPr>
      <w:r w:rsidRPr="00197296">
        <w:rPr>
          <w:rFonts w:ascii="AZGCaspariT" w:hAnsi="AZGCaspariT"/>
          <w:sz w:val="22"/>
          <w:szCs w:val="22"/>
        </w:rPr>
        <w:t>De</w:t>
      </w:r>
      <w:r w:rsidR="00B322ED">
        <w:rPr>
          <w:rFonts w:ascii="AZGCaspariT" w:hAnsi="AZGCaspariT"/>
          <w:sz w:val="22"/>
          <w:szCs w:val="22"/>
        </w:rPr>
        <w:t xml:space="preserve"> patiënt</w:t>
      </w:r>
      <w:r w:rsidR="00096BA4">
        <w:rPr>
          <w:rFonts w:ascii="AZGCaspariT" w:hAnsi="AZGCaspariT"/>
          <w:sz w:val="22"/>
          <w:szCs w:val="22"/>
        </w:rPr>
        <w:t xml:space="preserve"> </w:t>
      </w:r>
      <w:r w:rsidR="00B322ED">
        <w:rPr>
          <w:rFonts w:ascii="AZGCaspariT" w:hAnsi="AZGCaspariT"/>
          <w:sz w:val="22"/>
          <w:szCs w:val="22"/>
        </w:rPr>
        <w:t xml:space="preserve">/ donor wordt </w:t>
      </w:r>
      <w:r w:rsidR="00096BA4">
        <w:rPr>
          <w:rFonts w:ascii="AZGCaspariT" w:hAnsi="AZGCaspariT"/>
          <w:sz w:val="22"/>
          <w:szCs w:val="22"/>
        </w:rPr>
        <w:t xml:space="preserve">bij de hemaferese van </w:t>
      </w:r>
      <w:proofErr w:type="spellStart"/>
      <w:r w:rsidR="00096BA4">
        <w:rPr>
          <w:rFonts w:ascii="AZGCaspariT" w:hAnsi="AZGCaspariT"/>
          <w:sz w:val="22"/>
          <w:szCs w:val="22"/>
        </w:rPr>
        <w:t>Sanquin</w:t>
      </w:r>
      <w:proofErr w:type="spellEnd"/>
      <w:r w:rsidR="00096BA4">
        <w:rPr>
          <w:rFonts w:ascii="AZGCaspariT" w:hAnsi="AZGCaspariT"/>
          <w:sz w:val="22"/>
          <w:szCs w:val="22"/>
        </w:rPr>
        <w:t xml:space="preserve"> Bloedbank </w:t>
      </w:r>
      <w:r w:rsidR="00B322ED">
        <w:rPr>
          <w:rFonts w:ascii="AZGCaspariT" w:hAnsi="AZGCaspariT"/>
          <w:sz w:val="22"/>
          <w:szCs w:val="22"/>
        </w:rPr>
        <w:t>aangemeld doormiddel van het formulier aanvraag stamcelafer</w:t>
      </w:r>
      <w:r w:rsidR="000E06E9">
        <w:rPr>
          <w:rFonts w:ascii="AZGCaspariT" w:hAnsi="AZGCaspariT"/>
          <w:sz w:val="22"/>
          <w:szCs w:val="22"/>
        </w:rPr>
        <w:t>e</w:t>
      </w:r>
      <w:r w:rsidR="00B322ED">
        <w:rPr>
          <w:rFonts w:ascii="AZGCaspariT" w:hAnsi="AZGCaspariT"/>
          <w:sz w:val="22"/>
          <w:szCs w:val="22"/>
        </w:rPr>
        <w:t>se (</w:t>
      </w:r>
      <w:r w:rsidR="000E06E9">
        <w:rPr>
          <w:rFonts w:ascii="AZGCaspariT" w:hAnsi="AZGCaspariT"/>
          <w:sz w:val="22"/>
          <w:szCs w:val="22"/>
        </w:rPr>
        <w:t>SCTX 0012</w:t>
      </w:r>
      <w:r w:rsidR="00B322ED">
        <w:rPr>
          <w:rFonts w:ascii="AZGCaspariT" w:hAnsi="AZGCaspariT"/>
          <w:sz w:val="22"/>
          <w:szCs w:val="22"/>
        </w:rPr>
        <w:t>) en een keuringsbrief.</w:t>
      </w:r>
      <w:r w:rsidR="00096BA4">
        <w:rPr>
          <w:rFonts w:ascii="AZGCaspariT" w:hAnsi="AZGCaspariT"/>
          <w:sz w:val="22"/>
          <w:szCs w:val="22"/>
        </w:rPr>
        <w:t xml:space="preserve"> In deze keuringsbrief dient minimaal de volgende informatie vermeld te zijn: naam, geboortedatum, ziektebeeld, klinisch relevante co-morbiditeit, medicatie, verwachte toegangsweg voor aferese (perifeer of via </w:t>
      </w:r>
      <w:proofErr w:type="spellStart"/>
      <w:r w:rsidR="00096BA4">
        <w:rPr>
          <w:rFonts w:ascii="AZGCaspariT" w:hAnsi="AZGCaspariT"/>
          <w:sz w:val="22"/>
          <w:szCs w:val="22"/>
        </w:rPr>
        <w:t>centraa</w:t>
      </w:r>
      <w:r w:rsidR="00986388">
        <w:rPr>
          <w:rFonts w:ascii="AZGCaspariT" w:hAnsi="AZGCaspariT"/>
          <w:sz w:val="22"/>
          <w:szCs w:val="22"/>
        </w:rPr>
        <w:t>l</w:t>
      </w:r>
      <w:r w:rsidR="00096BA4">
        <w:rPr>
          <w:rFonts w:ascii="AZGCaspariT" w:hAnsi="AZGCaspariT"/>
          <w:sz w:val="22"/>
          <w:szCs w:val="22"/>
        </w:rPr>
        <w:t>veneuze</w:t>
      </w:r>
      <w:proofErr w:type="spellEnd"/>
      <w:r w:rsidR="00096BA4">
        <w:rPr>
          <w:rFonts w:ascii="AZGCaspariT" w:hAnsi="AZGCaspariT"/>
          <w:sz w:val="22"/>
          <w:szCs w:val="22"/>
        </w:rPr>
        <w:t xml:space="preserve"> </w:t>
      </w:r>
      <w:proofErr w:type="spellStart"/>
      <w:r w:rsidR="00096BA4">
        <w:rPr>
          <w:rFonts w:ascii="AZGCaspariT" w:hAnsi="AZGCaspariT"/>
          <w:sz w:val="22"/>
          <w:szCs w:val="22"/>
        </w:rPr>
        <w:t>catheter</w:t>
      </w:r>
      <w:proofErr w:type="spellEnd"/>
      <w:r w:rsidR="00096BA4">
        <w:rPr>
          <w:rFonts w:ascii="AZGCaspariT" w:hAnsi="AZGCaspariT"/>
          <w:sz w:val="22"/>
          <w:szCs w:val="22"/>
        </w:rPr>
        <w:t xml:space="preserve">), </w:t>
      </w:r>
      <w:r w:rsidR="00AC387E">
        <w:rPr>
          <w:rFonts w:ascii="AZGCaspariT" w:hAnsi="AZGCaspariT"/>
          <w:sz w:val="22"/>
          <w:szCs w:val="22"/>
        </w:rPr>
        <w:t xml:space="preserve">datum </w:t>
      </w:r>
      <w:proofErr w:type="spellStart"/>
      <w:r w:rsidR="00AC387E">
        <w:rPr>
          <w:rFonts w:ascii="AZGCaspariT" w:hAnsi="AZGCaspariT"/>
          <w:sz w:val="22"/>
          <w:szCs w:val="22"/>
        </w:rPr>
        <w:t>informed</w:t>
      </w:r>
      <w:proofErr w:type="spellEnd"/>
      <w:r w:rsidR="00AC387E">
        <w:rPr>
          <w:rFonts w:ascii="AZGCaspariT" w:hAnsi="AZGCaspariT"/>
          <w:sz w:val="22"/>
          <w:szCs w:val="22"/>
        </w:rPr>
        <w:t xml:space="preserve"> consent</w:t>
      </w:r>
      <w:r w:rsidR="00E6460C">
        <w:rPr>
          <w:rFonts w:ascii="AZGCaspariT" w:hAnsi="AZGCaspariT"/>
          <w:sz w:val="22"/>
          <w:szCs w:val="22"/>
        </w:rPr>
        <w:t xml:space="preserve"> en</w:t>
      </w:r>
      <w:r w:rsidR="00AC387E">
        <w:rPr>
          <w:rFonts w:ascii="AZGCaspariT" w:hAnsi="AZGCaspariT"/>
          <w:sz w:val="22"/>
          <w:szCs w:val="22"/>
        </w:rPr>
        <w:t xml:space="preserve"> virusserologie niet ouder dan 30 dagen bij start aferese.</w:t>
      </w:r>
    </w:p>
    <w:p w14:paraId="635BC0DE" w14:textId="77777777" w:rsidR="004B668B" w:rsidRPr="00197296" w:rsidRDefault="004B668B" w:rsidP="001D56C5">
      <w:pPr>
        <w:rPr>
          <w:rFonts w:ascii="AZGCaspariT" w:hAnsi="AZGCaspariT"/>
          <w:sz w:val="22"/>
          <w:szCs w:val="22"/>
        </w:rPr>
      </w:pPr>
    </w:p>
    <w:p w14:paraId="5202FD0F" w14:textId="77777777" w:rsidR="004B668B" w:rsidRDefault="004B668B" w:rsidP="003475C6">
      <w:pPr>
        <w:ind w:left="360"/>
        <w:rPr>
          <w:rFonts w:ascii="AZGCaspariT" w:hAnsi="AZGCaspariT"/>
          <w:i/>
          <w:sz w:val="22"/>
          <w:szCs w:val="22"/>
        </w:rPr>
      </w:pPr>
      <w:r w:rsidRPr="00197296">
        <w:rPr>
          <w:rFonts w:ascii="AZGCaspariT" w:hAnsi="AZGCaspariT"/>
          <w:i/>
          <w:sz w:val="22"/>
          <w:szCs w:val="22"/>
        </w:rPr>
        <w:t xml:space="preserve">Dag van </w:t>
      </w:r>
      <w:r w:rsidR="00B322ED">
        <w:rPr>
          <w:rFonts w:ascii="AZGCaspariT" w:hAnsi="AZGCaspariT"/>
          <w:i/>
          <w:sz w:val="22"/>
          <w:szCs w:val="22"/>
        </w:rPr>
        <w:t>mogelijke afer</w:t>
      </w:r>
      <w:r w:rsidR="00CF6D46">
        <w:rPr>
          <w:rFonts w:ascii="AZGCaspariT" w:hAnsi="AZGCaspariT"/>
          <w:i/>
          <w:sz w:val="22"/>
          <w:szCs w:val="22"/>
        </w:rPr>
        <w:t>e</w:t>
      </w:r>
      <w:r w:rsidR="00B322ED">
        <w:rPr>
          <w:rFonts w:ascii="AZGCaspariT" w:hAnsi="AZGCaspariT"/>
          <w:i/>
          <w:sz w:val="22"/>
          <w:szCs w:val="22"/>
        </w:rPr>
        <w:t>se</w:t>
      </w:r>
      <w:r w:rsidRPr="00197296">
        <w:rPr>
          <w:rFonts w:ascii="AZGCaspariT" w:hAnsi="AZGCaspariT"/>
          <w:i/>
          <w:sz w:val="22"/>
          <w:szCs w:val="22"/>
        </w:rPr>
        <w:t>:</w:t>
      </w:r>
    </w:p>
    <w:p w14:paraId="57B2FE51" w14:textId="77777777" w:rsidR="00B322ED" w:rsidRDefault="00B322ED" w:rsidP="003475C6">
      <w:pPr>
        <w:ind w:left="360"/>
        <w:rPr>
          <w:rFonts w:ascii="AZGCaspariT" w:hAnsi="AZGCaspariT"/>
          <w:i/>
          <w:sz w:val="22"/>
          <w:szCs w:val="22"/>
        </w:rPr>
      </w:pPr>
      <w:r>
        <w:rPr>
          <w:rFonts w:ascii="AZGCaspariT" w:hAnsi="AZGCaspariT"/>
          <w:i/>
          <w:sz w:val="22"/>
          <w:szCs w:val="22"/>
        </w:rPr>
        <w:t>Indicatie autologe stamceltransplantatie</w:t>
      </w:r>
    </w:p>
    <w:p w14:paraId="08D3496A" w14:textId="77777777" w:rsidR="00B322ED" w:rsidRDefault="00B322ED" w:rsidP="003475C6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De patiënt wordt tussen 7.30 en 8.00 uur geprikt</w:t>
      </w:r>
      <w:r w:rsidR="00834832">
        <w:rPr>
          <w:rFonts w:ascii="AZGCaspariT" w:hAnsi="AZGCaspariT"/>
          <w:sz w:val="22"/>
          <w:szCs w:val="22"/>
        </w:rPr>
        <w:t>, volgens protocol (</w:t>
      </w:r>
      <w:r w:rsidR="004E2BDE">
        <w:rPr>
          <w:rFonts w:ascii="AZGCaspariT" w:hAnsi="AZGCaspariT"/>
          <w:sz w:val="22"/>
          <w:szCs w:val="22"/>
        </w:rPr>
        <w:t xml:space="preserve">leukocyten, hemoglobine, </w:t>
      </w:r>
      <w:proofErr w:type="spellStart"/>
      <w:r w:rsidR="004E2BDE">
        <w:rPr>
          <w:rFonts w:ascii="AZGCaspariT" w:hAnsi="AZGCaspariT"/>
          <w:sz w:val="22"/>
          <w:szCs w:val="22"/>
        </w:rPr>
        <w:t>h</w:t>
      </w:r>
      <w:r w:rsidR="00834832">
        <w:rPr>
          <w:rFonts w:ascii="AZGCaspariT" w:hAnsi="AZGCaspariT"/>
          <w:sz w:val="22"/>
          <w:szCs w:val="22"/>
        </w:rPr>
        <w:t>emato</w:t>
      </w:r>
      <w:r w:rsidR="000E06E9">
        <w:rPr>
          <w:rFonts w:ascii="AZGCaspariT" w:hAnsi="AZGCaspariT"/>
          <w:sz w:val="22"/>
          <w:szCs w:val="22"/>
        </w:rPr>
        <w:t>c</w:t>
      </w:r>
      <w:r w:rsidR="00834832">
        <w:rPr>
          <w:rFonts w:ascii="AZGCaspariT" w:hAnsi="AZGCaspariT"/>
          <w:sz w:val="22"/>
          <w:szCs w:val="22"/>
        </w:rPr>
        <w:t>riet</w:t>
      </w:r>
      <w:proofErr w:type="spellEnd"/>
      <w:r w:rsidR="00834832">
        <w:rPr>
          <w:rFonts w:ascii="AZGCaspariT" w:hAnsi="AZGCaspariT"/>
          <w:sz w:val="22"/>
          <w:szCs w:val="22"/>
        </w:rPr>
        <w:t xml:space="preserve">, trombocyten, </w:t>
      </w:r>
      <w:r w:rsidR="004E2BDE">
        <w:rPr>
          <w:rFonts w:ascii="AZGCaspariT" w:hAnsi="AZGCaspariT"/>
          <w:sz w:val="22"/>
          <w:szCs w:val="22"/>
        </w:rPr>
        <w:t>natrium, u</w:t>
      </w:r>
      <w:r w:rsidR="00834832">
        <w:rPr>
          <w:rFonts w:ascii="AZGCaspariT" w:hAnsi="AZGCaspariT"/>
          <w:sz w:val="22"/>
          <w:szCs w:val="22"/>
        </w:rPr>
        <w:t xml:space="preserve">reum, </w:t>
      </w:r>
      <w:proofErr w:type="spellStart"/>
      <w:r w:rsidR="004E2BDE">
        <w:rPr>
          <w:rFonts w:ascii="AZGCaspariT" w:hAnsi="AZGCaspariT"/>
          <w:sz w:val="22"/>
          <w:szCs w:val="22"/>
        </w:rPr>
        <w:t>kreatinine</w:t>
      </w:r>
      <w:proofErr w:type="spellEnd"/>
      <w:r w:rsidR="004E2BDE">
        <w:rPr>
          <w:rFonts w:ascii="AZGCaspariT" w:hAnsi="AZGCaspariT"/>
          <w:sz w:val="22"/>
          <w:szCs w:val="22"/>
        </w:rPr>
        <w:t>, c</w:t>
      </w:r>
      <w:r w:rsidR="00ED78E6">
        <w:rPr>
          <w:rFonts w:ascii="AZGCaspariT" w:hAnsi="AZGCaspariT"/>
          <w:sz w:val="22"/>
          <w:szCs w:val="22"/>
        </w:rPr>
        <w:t xml:space="preserve">alcium, </w:t>
      </w:r>
      <w:r w:rsidR="004E2BDE">
        <w:rPr>
          <w:rFonts w:ascii="AZGCaspariT" w:hAnsi="AZGCaspariT"/>
          <w:sz w:val="22"/>
          <w:szCs w:val="22"/>
        </w:rPr>
        <w:t>fosfaat, m</w:t>
      </w:r>
      <w:r w:rsidR="00834832">
        <w:rPr>
          <w:rFonts w:ascii="AZGCaspariT" w:hAnsi="AZGCaspariT"/>
          <w:sz w:val="22"/>
          <w:szCs w:val="22"/>
        </w:rPr>
        <w:t>agnesium</w:t>
      </w:r>
      <w:r w:rsidR="00C62A1F">
        <w:rPr>
          <w:rFonts w:ascii="AZGCaspariT" w:hAnsi="AZGCaspariT"/>
          <w:sz w:val="22"/>
          <w:szCs w:val="22"/>
        </w:rPr>
        <w:t>, albumine</w:t>
      </w:r>
      <w:r w:rsidR="00834832">
        <w:rPr>
          <w:rFonts w:ascii="AZGCaspariT" w:hAnsi="AZGCaspariT"/>
          <w:sz w:val="22"/>
          <w:szCs w:val="22"/>
        </w:rPr>
        <w:t xml:space="preserve">, </w:t>
      </w:r>
      <w:r w:rsidR="00DF55FE">
        <w:rPr>
          <w:rFonts w:ascii="AZGCaspariT" w:hAnsi="AZGCaspariT"/>
          <w:sz w:val="22"/>
          <w:szCs w:val="22"/>
        </w:rPr>
        <w:t xml:space="preserve">type &amp; screen </w:t>
      </w:r>
      <w:r w:rsidR="00834832">
        <w:rPr>
          <w:rFonts w:ascii="AZGCaspariT" w:hAnsi="AZGCaspariT"/>
          <w:sz w:val="22"/>
          <w:szCs w:val="22"/>
        </w:rPr>
        <w:t xml:space="preserve">en </w:t>
      </w:r>
      <w:r w:rsidR="00DF55FE">
        <w:rPr>
          <w:rFonts w:ascii="AZGCaspariT" w:hAnsi="AZGCaspariT"/>
          <w:sz w:val="22"/>
          <w:szCs w:val="22"/>
        </w:rPr>
        <w:t xml:space="preserve">percentage </w:t>
      </w:r>
      <w:r w:rsidR="00834832">
        <w:rPr>
          <w:rFonts w:ascii="AZGCaspariT" w:hAnsi="AZGCaspariT"/>
          <w:sz w:val="22"/>
          <w:szCs w:val="22"/>
        </w:rPr>
        <w:t>CD34</w:t>
      </w:r>
      <w:r w:rsidR="00233D36">
        <w:rPr>
          <w:rFonts w:ascii="AZGCaspariT" w:hAnsi="AZGCaspariT"/>
          <w:sz w:val="22"/>
          <w:szCs w:val="22"/>
        </w:rPr>
        <w:t>+-cellen</w:t>
      </w:r>
      <w:r w:rsidR="00834832">
        <w:rPr>
          <w:rFonts w:ascii="AZGCaspariT" w:hAnsi="AZGCaspariT"/>
          <w:sz w:val="22"/>
          <w:szCs w:val="22"/>
        </w:rPr>
        <w:t xml:space="preserve">) </w:t>
      </w:r>
      <w:r>
        <w:rPr>
          <w:rFonts w:ascii="AZGCaspariT" w:hAnsi="AZGCaspariT"/>
          <w:sz w:val="22"/>
          <w:szCs w:val="22"/>
        </w:rPr>
        <w:t xml:space="preserve"> op de </w:t>
      </w:r>
      <w:r w:rsidR="00CF6D46">
        <w:rPr>
          <w:rFonts w:ascii="AZGCaspariT" w:hAnsi="AZGCaspariT"/>
          <w:sz w:val="22"/>
          <w:szCs w:val="22"/>
        </w:rPr>
        <w:t>prikpoli</w:t>
      </w:r>
      <w:r>
        <w:rPr>
          <w:rFonts w:ascii="AZGCaspariT" w:hAnsi="AZGCaspariT"/>
          <w:sz w:val="22"/>
          <w:szCs w:val="22"/>
        </w:rPr>
        <w:t xml:space="preserve"> of de verpleegafdeling</w:t>
      </w:r>
      <w:r w:rsidR="007B7E8B">
        <w:rPr>
          <w:rFonts w:ascii="AZGCaspariT" w:hAnsi="AZGCaspariT"/>
          <w:sz w:val="22"/>
          <w:szCs w:val="22"/>
        </w:rPr>
        <w:t xml:space="preserve"> en meldt zich</w:t>
      </w:r>
      <w:r w:rsidR="00DF55FE">
        <w:rPr>
          <w:rFonts w:ascii="AZGCaspariT" w:hAnsi="AZGCaspariT"/>
          <w:sz w:val="22"/>
          <w:szCs w:val="22"/>
        </w:rPr>
        <w:t xml:space="preserve"> -</w:t>
      </w:r>
      <w:r w:rsidR="007B7E8B">
        <w:rPr>
          <w:rFonts w:ascii="AZGCaspariT" w:hAnsi="AZGCaspariT"/>
          <w:sz w:val="22"/>
          <w:szCs w:val="22"/>
        </w:rPr>
        <w:t xml:space="preserve"> indien poliklinisch </w:t>
      </w:r>
      <w:r w:rsidR="00DF55FE">
        <w:rPr>
          <w:rFonts w:ascii="AZGCaspariT" w:hAnsi="AZGCaspariT"/>
          <w:sz w:val="22"/>
          <w:szCs w:val="22"/>
        </w:rPr>
        <w:t xml:space="preserve">- </w:t>
      </w:r>
      <w:r w:rsidR="007B7E8B">
        <w:rPr>
          <w:rFonts w:ascii="AZGCaspariT" w:hAnsi="AZGCaspariT"/>
          <w:sz w:val="22"/>
          <w:szCs w:val="22"/>
        </w:rPr>
        <w:t xml:space="preserve">op de polikliniek. Hier worden alvast de benodigde controles zoals gewicht, bloeddruk en pols gemeten. </w:t>
      </w:r>
    </w:p>
    <w:p w14:paraId="2CB40EC6" w14:textId="77777777" w:rsidR="00B322ED" w:rsidRDefault="007B7E8B" w:rsidP="003475C6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De afdeling bijzondere hematologie (UMCG) zet de </w:t>
      </w:r>
      <w:r w:rsidR="00DF55FE">
        <w:rPr>
          <w:rFonts w:ascii="AZGCaspariT" w:hAnsi="AZGCaspariT"/>
          <w:sz w:val="22"/>
          <w:szCs w:val="22"/>
        </w:rPr>
        <w:t>CD</w:t>
      </w:r>
      <w:r>
        <w:rPr>
          <w:rFonts w:ascii="AZGCaspariT" w:hAnsi="AZGCaspariT"/>
          <w:sz w:val="22"/>
          <w:szCs w:val="22"/>
        </w:rPr>
        <w:t>34 bepaling in.</w:t>
      </w:r>
    </w:p>
    <w:p w14:paraId="12A77C4D" w14:textId="77777777" w:rsidR="007B7E8B" w:rsidRDefault="007B7E8B" w:rsidP="003475C6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De afdeling bijzondere hematologie meldt de</w:t>
      </w:r>
      <w:r w:rsidR="0013010D">
        <w:rPr>
          <w:rFonts w:ascii="AZGCaspariT" w:hAnsi="AZGCaspariT"/>
          <w:sz w:val="22"/>
          <w:szCs w:val="22"/>
        </w:rPr>
        <w:t xml:space="preserve">  VS en bij diens afwezigheid de </w:t>
      </w:r>
      <w:r>
        <w:rPr>
          <w:rFonts w:ascii="AZGCaspariT" w:hAnsi="AZGCaspariT"/>
          <w:sz w:val="22"/>
          <w:szCs w:val="22"/>
        </w:rPr>
        <w:t xml:space="preserve"> </w:t>
      </w:r>
      <w:r w:rsidR="00406740">
        <w:rPr>
          <w:rFonts w:ascii="AZGCaspariT" w:hAnsi="AZGCaspariT"/>
          <w:sz w:val="22"/>
          <w:szCs w:val="22"/>
        </w:rPr>
        <w:t>VC dat de uitslag van de CD34-bepaling bekend is</w:t>
      </w:r>
      <w:r w:rsidR="0013010D">
        <w:rPr>
          <w:rFonts w:ascii="AZGCaspariT" w:hAnsi="AZGCaspariT"/>
          <w:sz w:val="22"/>
          <w:szCs w:val="22"/>
        </w:rPr>
        <w:t>. Indien de VC de uitslag krijgt overlegd d</w:t>
      </w:r>
      <w:r w:rsidR="00406740">
        <w:rPr>
          <w:rFonts w:ascii="AZGCaspariT" w:hAnsi="AZGCaspariT"/>
          <w:sz w:val="22"/>
          <w:szCs w:val="22"/>
        </w:rPr>
        <w:t>eze de uitslag met de</w:t>
      </w:r>
      <w:r w:rsidR="00406740" w:rsidDel="00DF55FE">
        <w:rPr>
          <w:rFonts w:ascii="AZGCaspariT" w:hAnsi="AZGCaspariT"/>
          <w:sz w:val="22"/>
          <w:szCs w:val="22"/>
        </w:rPr>
        <w:t xml:space="preserve"> </w:t>
      </w:r>
      <w:r w:rsidR="00DF55FE">
        <w:rPr>
          <w:rFonts w:ascii="AZGCaspariT" w:hAnsi="AZGCaspariT"/>
          <w:sz w:val="22"/>
          <w:szCs w:val="22"/>
        </w:rPr>
        <w:t>h</w:t>
      </w:r>
      <w:r>
        <w:rPr>
          <w:rFonts w:ascii="AZGCaspariT" w:hAnsi="AZGCaspariT"/>
          <w:sz w:val="22"/>
          <w:szCs w:val="22"/>
        </w:rPr>
        <w:t xml:space="preserve">ematoloog, </w:t>
      </w:r>
      <w:r w:rsidR="00DF55FE">
        <w:rPr>
          <w:rFonts w:ascii="AZGCaspariT" w:hAnsi="AZGCaspariT"/>
          <w:sz w:val="22"/>
          <w:szCs w:val="22"/>
        </w:rPr>
        <w:t xml:space="preserve">Hio </w:t>
      </w:r>
      <w:r>
        <w:rPr>
          <w:rFonts w:ascii="AZGCaspariT" w:hAnsi="AZGCaspariT"/>
          <w:sz w:val="22"/>
          <w:szCs w:val="22"/>
        </w:rPr>
        <w:t>of VS</w:t>
      </w:r>
      <w:r w:rsidR="0013010D">
        <w:rPr>
          <w:rFonts w:ascii="AZGCaspariT" w:hAnsi="AZGCaspariT"/>
          <w:sz w:val="22"/>
          <w:szCs w:val="22"/>
        </w:rPr>
        <w:t>.</w:t>
      </w:r>
    </w:p>
    <w:p w14:paraId="3E585C8E" w14:textId="5C8880F8" w:rsidR="007B7E8B" w:rsidRDefault="007B7E8B" w:rsidP="003475C6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De hematoloog, </w:t>
      </w:r>
      <w:r w:rsidR="00406740">
        <w:rPr>
          <w:rFonts w:ascii="AZGCaspariT" w:hAnsi="AZGCaspariT"/>
          <w:sz w:val="22"/>
          <w:szCs w:val="22"/>
        </w:rPr>
        <w:t xml:space="preserve">Hio </w:t>
      </w:r>
      <w:r>
        <w:rPr>
          <w:rFonts w:ascii="AZGCaspariT" w:hAnsi="AZGCaspariT"/>
          <w:sz w:val="22"/>
          <w:szCs w:val="22"/>
        </w:rPr>
        <w:t>of VS beoordeel</w:t>
      </w:r>
      <w:r w:rsidR="00986388">
        <w:rPr>
          <w:rFonts w:ascii="AZGCaspariT" w:hAnsi="AZGCaspariT"/>
          <w:sz w:val="22"/>
          <w:szCs w:val="22"/>
        </w:rPr>
        <w:t>t</w:t>
      </w:r>
      <w:r>
        <w:rPr>
          <w:rFonts w:ascii="AZGCaspariT" w:hAnsi="AZGCaspariT"/>
          <w:sz w:val="22"/>
          <w:szCs w:val="22"/>
        </w:rPr>
        <w:t xml:space="preserve"> of het qua lab</w:t>
      </w:r>
      <w:r w:rsidR="00CF6D46">
        <w:rPr>
          <w:rFonts w:ascii="AZGCaspariT" w:hAnsi="AZGCaspariT"/>
          <w:sz w:val="22"/>
          <w:szCs w:val="22"/>
        </w:rPr>
        <w:t xml:space="preserve"> </w:t>
      </w:r>
      <w:r>
        <w:rPr>
          <w:rFonts w:ascii="AZGCaspariT" w:hAnsi="AZGCaspariT"/>
          <w:sz w:val="22"/>
          <w:szCs w:val="22"/>
        </w:rPr>
        <w:t>uitslag zinvol is om de aferese procedure te starten</w:t>
      </w:r>
      <w:r w:rsidR="0036557D">
        <w:rPr>
          <w:rFonts w:ascii="AZGCaspariT" w:hAnsi="AZGCaspariT"/>
          <w:sz w:val="22"/>
          <w:szCs w:val="22"/>
        </w:rPr>
        <w:t xml:space="preserve">. </w:t>
      </w:r>
      <w:r w:rsidR="001B4491">
        <w:rPr>
          <w:rFonts w:ascii="AZGCaspariT" w:hAnsi="AZGCaspariT"/>
          <w:sz w:val="22"/>
          <w:szCs w:val="22"/>
        </w:rPr>
        <w:t>Criteria</w:t>
      </w:r>
      <w:r w:rsidR="0036557D">
        <w:rPr>
          <w:rFonts w:ascii="AZGCaspariT" w:hAnsi="AZGCaspariT"/>
          <w:sz w:val="22"/>
          <w:szCs w:val="22"/>
        </w:rPr>
        <w:t xml:space="preserve"> voor sta</w:t>
      </w:r>
      <w:r w:rsidR="00986388">
        <w:rPr>
          <w:rFonts w:ascii="AZGCaspariT" w:hAnsi="AZGCaspariT"/>
          <w:sz w:val="22"/>
          <w:szCs w:val="22"/>
        </w:rPr>
        <w:t>r</w:t>
      </w:r>
      <w:r w:rsidR="0036557D">
        <w:rPr>
          <w:rFonts w:ascii="AZGCaspariT" w:hAnsi="AZGCaspariT"/>
          <w:sz w:val="22"/>
          <w:szCs w:val="22"/>
        </w:rPr>
        <w:t xml:space="preserve">t van de aferese kunnen zijn: </w:t>
      </w:r>
      <w:r>
        <w:rPr>
          <w:rFonts w:ascii="AZGCaspariT" w:hAnsi="AZGCaspariT"/>
          <w:sz w:val="22"/>
          <w:szCs w:val="22"/>
        </w:rPr>
        <w:t xml:space="preserve">verwachte opbrengst </w:t>
      </w:r>
      <w:r w:rsidR="0036557D">
        <w:rPr>
          <w:rFonts w:ascii="AZGCaspariT" w:hAnsi="AZGCaspariT"/>
          <w:sz w:val="22"/>
          <w:szCs w:val="22"/>
        </w:rPr>
        <w:t>CD</w:t>
      </w:r>
      <w:r w:rsidRPr="00A46528">
        <w:rPr>
          <w:rFonts w:ascii="AZGCaspariT" w:hAnsi="AZGCaspariT"/>
          <w:sz w:val="22"/>
          <w:szCs w:val="22"/>
        </w:rPr>
        <w:t xml:space="preserve">34  bij 3x </w:t>
      </w:r>
      <w:r w:rsidR="00DF55FE" w:rsidRPr="00A46528">
        <w:rPr>
          <w:rFonts w:ascii="AZGCaspariT" w:hAnsi="AZGCaspariT"/>
          <w:sz w:val="22"/>
          <w:szCs w:val="22"/>
        </w:rPr>
        <w:t>b</w:t>
      </w:r>
      <w:r w:rsidRPr="00A46528">
        <w:rPr>
          <w:rFonts w:ascii="AZGCaspariT" w:hAnsi="AZGCaspariT"/>
          <w:sz w:val="22"/>
          <w:szCs w:val="22"/>
        </w:rPr>
        <w:t>loedvolume &gt;1,0 x10</w:t>
      </w:r>
      <w:r w:rsidRPr="00A46528">
        <w:rPr>
          <w:rFonts w:ascii="AZGCaspariT" w:hAnsi="AZGCaspariT"/>
          <w:sz w:val="22"/>
          <w:szCs w:val="22"/>
          <w:vertAlign w:val="superscript"/>
        </w:rPr>
        <w:t>6</w:t>
      </w:r>
      <w:r w:rsidRPr="00A46528">
        <w:rPr>
          <w:rFonts w:ascii="AZGCaspariT" w:hAnsi="AZGCaspariT"/>
          <w:sz w:val="22"/>
          <w:szCs w:val="22"/>
        </w:rPr>
        <w:t>/</w:t>
      </w:r>
      <w:r w:rsidR="00C62A1F">
        <w:rPr>
          <w:rFonts w:ascii="AZGCaspariT" w:hAnsi="AZGCaspariT"/>
          <w:sz w:val="22"/>
          <w:szCs w:val="22"/>
        </w:rPr>
        <w:t xml:space="preserve">kg </w:t>
      </w:r>
      <w:r w:rsidR="00FE3BED" w:rsidRPr="00A46528">
        <w:rPr>
          <w:rFonts w:ascii="AZGCaspariT" w:hAnsi="AZGCaspariT"/>
          <w:sz w:val="22"/>
          <w:szCs w:val="22"/>
        </w:rPr>
        <w:t>CD34</w:t>
      </w:r>
      <w:r w:rsidR="001D56C5" w:rsidRPr="00A46528">
        <w:rPr>
          <w:rFonts w:ascii="AZGCaspariT" w:hAnsi="AZGCaspariT"/>
          <w:sz w:val="22"/>
          <w:szCs w:val="22"/>
        </w:rPr>
        <w:t xml:space="preserve"> </w:t>
      </w:r>
      <w:r w:rsidR="00FE3BED" w:rsidRPr="00A46528">
        <w:rPr>
          <w:rFonts w:ascii="AZGCaspariT" w:hAnsi="AZGCaspariT"/>
          <w:sz w:val="22"/>
          <w:szCs w:val="22"/>
        </w:rPr>
        <w:t>+ cellen</w:t>
      </w:r>
      <w:r w:rsidR="00515684">
        <w:rPr>
          <w:rFonts w:ascii="AZGCaspariT" w:hAnsi="AZGCaspariT"/>
          <w:sz w:val="22"/>
          <w:szCs w:val="22"/>
        </w:rPr>
        <w:t xml:space="preserve">, </w:t>
      </w:r>
      <w:r w:rsidR="001D56C5" w:rsidRPr="00A46528">
        <w:rPr>
          <w:rFonts w:ascii="AZGCaspariT" w:hAnsi="AZGCaspariT"/>
          <w:sz w:val="22"/>
          <w:szCs w:val="22"/>
        </w:rPr>
        <w:t>tenzij uitgebreide voorbehandeling of uitstel verwachte aferese datum &gt;10 dagen neupogen bij lymfoom en &gt; 8 dagen neupogen bij multipel myeloom</w:t>
      </w:r>
      <w:r w:rsidR="0036557D">
        <w:rPr>
          <w:rFonts w:ascii="AZGCaspariT" w:hAnsi="AZGCaspariT"/>
          <w:sz w:val="22"/>
          <w:szCs w:val="22"/>
        </w:rPr>
        <w:t>.</w:t>
      </w:r>
      <w:r w:rsidR="001D56C5" w:rsidRPr="00A46528">
        <w:rPr>
          <w:rFonts w:ascii="AZGCaspariT" w:hAnsi="AZGCaspariT"/>
          <w:sz w:val="22"/>
          <w:szCs w:val="22"/>
        </w:rPr>
        <w:t xml:space="preserve"> </w:t>
      </w:r>
      <w:r w:rsidR="0036557D">
        <w:rPr>
          <w:rFonts w:ascii="AZGCaspariT" w:hAnsi="AZGCaspariT"/>
          <w:sz w:val="22"/>
          <w:szCs w:val="22"/>
        </w:rPr>
        <w:t xml:space="preserve">De uiteindelijke </w:t>
      </w:r>
      <w:r w:rsidR="0036557D">
        <w:rPr>
          <w:rFonts w:ascii="AZGCaspariT" w:hAnsi="AZGCaspariT"/>
          <w:sz w:val="22"/>
          <w:szCs w:val="22"/>
        </w:rPr>
        <w:lastRenderedPageBreak/>
        <w:t xml:space="preserve">beslissing over start aferese en </w:t>
      </w:r>
      <w:r w:rsidR="006B6B29">
        <w:rPr>
          <w:rFonts w:ascii="AZGCaspariT" w:hAnsi="AZGCaspariT"/>
          <w:sz w:val="22"/>
          <w:szCs w:val="22"/>
        </w:rPr>
        <w:t xml:space="preserve">het </w:t>
      </w:r>
      <w:r w:rsidR="0036557D">
        <w:rPr>
          <w:rFonts w:ascii="AZGCaspariT" w:hAnsi="AZGCaspariT"/>
          <w:sz w:val="22"/>
          <w:szCs w:val="22"/>
        </w:rPr>
        <w:t xml:space="preserve">te bewerken bloedvolume wordt  </w:t>
      </w:r>
      <w:r w:rsidR="00406740">
        <w:rPr>
          <w:rFonts w:ascii="AZGCaspariT" w:hAnsi="AZGCaspariT"/>
          <w:sz w:val="22"/>
          <w:szCs w:val="22"/>
        </w:rPr>
        <w:t>in overleg met</w:t>
      </w:r>
      <w:r w:rsidR="0036557D">
        <w:rPr>
          <w:rFonts w:ascii="AZGCaspariT" w:hAnsi="AZGCaspariT"/>
          <w:sz w:val="22"/>
          <w:szCs w:val="22"/>
        </w:rPr>
        <w:t xml:space="preserve"> de superviserend hematoloog genomen. Ook de uiteindelijke indicatie voor wel of niet starten </w:t>
      </w:r>
      <w:proofErr w:type="spellStart"/>
      <w:r w:rsidR="0036557D">
        <w:rPr>
          <w:rFonts w:ascii="AZGCaspariT" w:hAnsi="AZGCaspariT"/>
          <w:sz w:val="22"/>
          <w:szCs w:val="22"/>
        </w:rPr>
        <w:t>plerixafor</w:t>
      </w:r>
      <w:proofErr w:type="spellEnd"/>
      <w:r w:rsidR="0036557D">
        <w:rPr>
          <w:rFonts w:ascii="AZGCaspariT" w:hAnsi="AZGCaspariT"/>
          <w:sz w:val="22"/>
          <w:szCs w:val="22"/>
        </w:rPr>
        <w:t xml:space="preserve"> of staken van de mobilisatiepoging wordt genomen door de superviserend hematoloog.</w:t>
      </w:r>
      <w:r w:rsidR="001D56C5">
        <w:rPr>
          <w:rFonts w:ascii="AZGCaspariT" w:hAnsi="AZGCaspariT"/>
          <w:sz w:val="22"/>
          <w:szCs w:val="22"/>
        </w:rPr>
        <w:t xml:space="preserve"> De mate van supervisie wordt gezamenlijk vastgelegd. </w:t>
      </w:r>
    </w:p>
    <w:p w14:paraId="5EE39178" w14:textId="77777777" w:rsidR="00CF6D46" w:rsidRDefault="0036557D" w:rsidP="003475C6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Gestreefd wordt</w:t>
      </w:r>
      <w:r w:rsidR="00CF6D46">
        <w:rPr>
          <w:rFonts w:ascii="AZGCaspariT" w:hAnsi="AZGCaspariT"/>
          <w:sz w:val="22"/>
          <w:szCs w:val="22"/>
        </w:rPr>
        <w:t xml:space="preserve"> v</w:t>
      </w:r>
      <w:r w:rsidR="00FE3BED">
        <w:rPr>
          <w:rFonts w:ascii="AZGCaspariT" w:hAnsi="AZGCaspariT"/>
          <w:sz w:val="22"/>
          <w:szCs w:val="22"/>
        </w:rPr>
        <w:t xml:space="preserve">oor 1 transplantatie </w:t>
      </w:r>
      <w:r>
        <w:rPr>
          <w:rFonts w:ascii="AZGCaspariT" w:hAnsi="AZGCaspariT"/>
          <w:sz w:val="22"/>
          <w:szCs w:val="22"/>
        </w:rPr>
        <w:t xml:space="preserve">naar </w:t>
      </w:r>
      <w:r w:rsidR="00FE3BED">
        <w:rPr>
          <w:rFonts w:ascii="AZGCaspariT" w:hAnsi="AZGCaspariT"/>
          <w:sz w:val="22"/>
          <w:szCs w:val="22"/>
        </w:rPr>
        <w:t>3 x10</w:t>
      </w:r>
      <w:r w:rsidR="00FE3BED" w:rsidRPr="00A46528">
        <w:rPr>
          <w:rFonts w:ascii="AZGCaspariT" w:hAnsi="AZGCaspariT"/>
          <w:sz w:val="22"/>
          <w:szCs w:val="22"/>
          <w:vertAlign w:val="superscript"/>
        </w:rPr>
        <w:t>6</w:t>
      </w:r>
      <w:r w:rsidR="00C62A1F">
        <w:rPr>
          <w:rFonts w:ascii="AZGCaspariT" w:hAnsi="AZGCaspariT"/>
          <w:sz w:val="22"/>
          <w:szCs w:val="22"/>
        </w:rPr>
        <w:t xml:space="preserve">/kg </w:t>
      </w:r>
      <w:r w:rsidR="00FE3BED">
        <w:rPr>
          <w:rFonts w:ascii="AZGCaspariT" w:hAnsi="AZGCaspariT"/>
          <w:sz w:val="22"/>
          <w:szCs w:val="22"/>
        </w:rPr>
        <w:t>CD34</w:t>
      </w:r>
      <w:r w:rsidR="00CF6D46">
        <w:rPr>
          <w:rFonts w:ascii="AZGCaspariT" w:hAnsi="AZGCaspariT"/>
          <w:sz w:val="22"/>
          <w:szCs w:val="22"/>
        </w:rPr>
        <w:t xml:space="preserve"> </w:t>
      </w:r>
      <w:r w:rsidR="00FE3BED">
        <w:rPr>
          <w:rFonts w:ascii="AZGCaspariT" w:hAnsi="AZGCaspariT"/>
          <w:sz w:val="22"/>
          <w:szCs w:val="22"/>
        </w:rPr>
        <w:t xml:space="preserve">+ cellen </w:t>
      </w:r>
      <w:r w:rsidR="00CF6D46">
        <w:rPr>
          <w:rFonts w:ascii="AZGCaspariT" w:hAnsi="AZGCaspariT"/>
          <w:sz w:val="22"/>
          <w:szCs w:val="22"/>
        </w:rPr>
        <w:t>en vo</w:t>
      </w:r>
      <w:r w:rsidR="00FE3BED">
        <w:rPr>
          <w:rFonts w:ascii="AZGCaspariT" w:hAnsi="AZGCaspariT"/>
          <w:sz w:val="22"/>
          <w:szCs w:val="22"/>
        </w:rPr>
        <w:t>or 2 transplantaties 6 x10</w:t>
      </w:r>
      <w:r w:rsidR="00FE3BED" w:rsidRPr="00A46528">
        <w:rPr>
          <w:rFonts w:ascii="AZGCaspariT" w:hAnsi="AZGCaspariT"/>
          <w:sz w:val="22"/>
          <w:szCs w:val="22"/>
          <w:vertAlign w:val="superscript"/>
        </w:rPr>
        <w:t>6</w:t>
      </w:r>
      <w:r w:rsidR="00C62A1F">
        <w:rPr>
          <w:rFonts w:ascii="AZGCaspariT" w:hAnsi="AZGCaspariT"/>
          <w:sz w:val="22"/>
          <w:szCs w:val="22"/>
        </w:rPr>
        <w:t xml:space="preserve">/kg </w:t>
      </w:r>
      <w:r w:rsidR="00FE3BED">
        <w:rPr>
          <w:rFonts w:ascii="AZGCaspariT" w:hAnsi="AZGCaspariT"/>
          <w:sz w:val="22"/>
          <w:szCs w:val="22"/>
        </w:rPr>
        <w:t>CD34 + cellen</w:t>
      </w:r>
      <w:r w:rsidR="00CF6D46">
        <w:rPr>
          <w:rFonts w:ascii="AZGCaspariT" w:hAnsi="AZGCaspariT"/>
          <w:sz w:val="22"/>
          <w:szCs w:val="22"/>
        </w:rPr>
        <w:t>.</w:t>
      </w:r>
    </w:p>
    <w:p w14:paraId="5B509949" w14:textId="59F7B6D6" w:rsidR="007B7E8B" w:rsidRPr="000E06E9" w:rsidRDefault="007B7E8B" w:rsidP="003475C6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De hematoloog, </w:t>
      </w:r>
      <w:r w:rsidR="0057144D">
        <w:rPr>
          <w:rFonts w:ascii="AZGCaspariT" w:hAnsi="AZGCaspariT"/>
          <w:sz w:val="22"/>
          <w:szCs w:val="22"/>
        </w:rPr>
        <w:t xml:space="preserve">Hio </w:t>
      </w:r>
      <w:r>
        <w:rPr>
          <w:rFonts w:ascii="AZGCaspariT" w:hAnsi="AZGCaspariT"/>
          <w:sz w:val="22"/>
          <w:szCs w:val="22"/>
        </w:rPr>
        <w:t xml:space="preserve">of VS keurt de </w:t>
      </w:r>
      <w:r w:rsidR="00AB2C38">
        <w:rPr>
          <w:rFonts w:ascii="AZGCaspariT" w:hAnsi="AZGCaspariT"/>
          <w:sz w:val="22"/>
          <w:szCs w:val="22"/>
        </w:rPr>
        <w:t xml:space="preserve">autologe donor (= </w:t>
      </w:r>
      <w:r>
        <w:rPr>
          <w:rFonts w:ascii="AZGCaspariT" w:hAnsi="AZGCaspariT"/>
          <w:sz w:val="22"/>
          <w:szCs w:val="22"/>
        </w:rPr>
        <w:t>patiënt</w:t>
      </w:r>
      <w:r w:rsidR="00AB2C38">
        <w:rPr>
          <w:rFonts w:ascii="AZGCaspariT" w:hAnsi="AZGCaspariT"/>
          <w:sz w:val="22"/>
          <w:szCs w:val="22"/>
        </w:rPr>
        <w:t>)</w:t>
      </w:r>
      <w:r>
        <w:rPr>
          <w:rFonts w:ascii="AZGCaspariT" w:hAnsi="AZGCaspariT"/>
          <w:sz w:val="22"/>
          <w:szCs w:val="22"/>
        </w:rPr>
        <w:t xml:space="preserve"> volgens de </w:t>
      </w:r>
      <w:r w:rsidRPr="00A46528">
        <w:rPr>
          <w:rFonts w:ascii="AZGCaspariT" w:hAnsi="AZGCaspariT"/>
          <w:sz w:val="22"/>
          <w:szCs w:val="22"/>
        </w:rPr>
        <w:t>checklist</w:t>
      </w:r>
      <w:r w:rsidR="00834832" w:rsidRPr="00A46528">
        <w:rPr>
          <w:rFonts w:ascii="AZGCaspariT" w:hAnsi="AZGCaspariT"/>
          <w:sz w:val="22"/>
          <w:szCs w:val="22"/>
        </w:rPr>
        <w:t xml:space="preserve"> voor start aferese</w:t>
      </w:r>
      <w:r w:rsidRPr="0036557D">
        <w:rPr>
          <w:rFonts w:ascii="AZGCaspariT" w:hAnsi="AZGCaspariT"/>
          <w:sz w:val="22"/>
          <w:szCs w:val="22"/>
        </w:rPr>
        <w:t xml:space="preserve"> en geeft door aan de VC dat de pro</w:t>
      </w:r>
      <w:r w:rsidR="00CF6D46" w:rsidRPr="0036557D">
        <w:rPr>
          <w:rFonts w:ascii="AZGCaspariT" w:hAnsi="AZGCaspariT"/>
          <w:sz w:val="22"/>
          <w:szCs w:val="22"/>
        </w:rPr>
        <w:t>cedure in gang gezet kan worden</w:t>
      </w:r>
      <w:r w:rsidR="00233D36">
        <w:rPr>
          <w:rFonts w:ascii="AZGCaspariT" w:hAnsi="AZGCaspariT"/>
          <w:sz w:val="22"/>
          <w:szCs w:val="22"/>
        </w:rPr>
        <w:t xml:space="preserve">, of het de bedoeling is een MNC- of een </w:t>
      </w:r>
      <w:proofErr w:type="spellStart"/>
      <w:r w:rsidR="00233D36">
        <w:rPr>
          <w:rFonts w:ascii="AZGCaspariT" w:hAnsi="AZGCaspariT"/>
          <w:sz w:val="22"/>
          <w:szCs w:val="22"/>
        </w:rPr>
        <w:t>cMNC</w:t>
      </w:r>
      <w:proofErr w:type="spellEnd"/>
      <w:r w:rsidR="00233D36">
        <w:rPr>
          <w:rFonts w:ascii="AZGCaspariT" w:hAnsi="AZGCaspariT"/>
          <w:sz w:val="22"/>
          <w:szCs w:val="22"/>
        </w:rPr>
        <w:t>-procedure te draaien</w:t>
      </w:r>
      <w:r w:rsidR="00CF6D46" w:rsidRPr="0036557D">
        <w:rPr>
          <w:rFonts w:ascii="AZGCaspariT" w:hAnsi="AZGCaspariT"/>
          <w:sz w:val="22"/>
          <w:szCs w:val="22"/>
        </w:rPr>
        <w:t xml:space="preserve"> </w:t>
      </w:r>
      <w:r w:rsidR="00DE2863">
        <w:rPr>
          <w:rFonts w:ascii="AZGCaspariT" w:hAnsi="AZGCaspariT"/>
          <w:sz w:val="22"/>
          <w:szCs w:val="22"/>
        </w:rPr>
        <w:t>en legt dit vast in het behandelplan voor aferese en geeft Ok voorbehandeling</w:t>
      </w:r>
      <w:r w:rsidR="00651E85">
        <w:rPr>
          <w:rFonts w:ascii="AZGCaspariT" w:hAnsi="AZGCaspariT"/>
          <w:sz w:val="22"/>
          <w:szCs w:val="22"/>
        </w:rPr>
        <w:t xml:space="preserve">, geeft aan hoeveel er bewerkt moet worden en beoordeeld en tekent het hydratieschema. </w:t>
      </w:r>
    </w:p>
    <w:p w14:paraId="3E15668D" w14:textId="3B78D47D" w:rsidR="007B7E8B" w:rsidRDefault="007B7E8B" w:rsidP="003475C6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De VC meldt</w:t>
      </w:r>
      <w:r w:rsidR="00DE2863">
        <w:rPr>
          <w:rFonts w:ascii="AZGCaspariT" w:hAnsi="AZGCaspariT"/>
          <w:sz w:val="22"/>
          <w:szCs w:val="22"/>
        </w:rPr>
        <w:t xml:space="preserve">, indien de procedure door </w:t>
      </w:r>
      <w:proofErr w:type="spellStart"/>
      <w:r w:rsidR="00DE2863">
        <w:rPr>
          <w:rFonts w:ascii="AZGCaspariT" w:hAnsi="AZGCaspariT"/>
          <w:sz w:val="22"/>
          <w:szCs w:val="22"/>
        </w:rPr>
        <w:t>Sanquin</w:t>
      </w:r>
      <w:proofErr w:type="spellEnd"/>
      <w:r w:rsidR="00DE2863">
        <w:rPr>
          <w:rFonts w:ascii="AZGCaspariT" w:hAnsi="AZGCaspariT"/>
          <w:sz w:val="22"/>
          <w:szCs w:val="22"/>
        </w:rPr>
        <w:t xml:space="preserve"> wordt </w:t>
      </w:r>
      <w:proofErr w:type="spellStart"/>
      <w:r w:rsidR="00DE2863">
        <w:rPr>
          <w:rFonts w:ascii="AZGCaspariT" w:hAnsi="AZGCaspariT"/>
          <w:sz w:val="22"/>
          <w:szCs w:val="22"/>
        </w:rPr>
        <w:t>uigevoerd</w:t>
      </w:r>
      <w:proofErr w:type="spellEnd"/>
      <w:r w:rsidR="00DE2863">
        <w:rPr>
          <w:rFonts w:ascii="AZGCaspariT" w:hAnsi="AZGCaspariT"/>
          <w:sz w:val="22"/>
          <w:szCs w:val="22"/>
        </w:rPr>
        <w:t xml:space="preserve">, </w:t>
      </w:r>
      <w:r>
        <w:rPr>
          <w:rFonts w:ascii="AZGCaspariT" w:hAnsi="AZGCaspariT"/>
          <w:sz w:val="22"/>
          <w:szCs w:val="22"/>
        </w:rPr>
        <w:t xml:space="preserve">het BAT van </w:t>
      </w:r>
      <w:proofErr w:type="spellStart"/>
      <w:r>
        <w:rPr>
          <w:rFonts w:ascii="AZGCaspariT" w:hAnsi="AZGCaspariT"/>
          <w:sz w:val="22"/>
          <w:szCs w:val="22"/>
        </w:rPr>
        <w:t>Sanquin</w:t>
      </w:r>
      <w:proofErr w:type="spellEnd"/>
      <w:r>
        <w:rPr>
          <w:rFonts w:ascii="AZGCaspariT" w:hAnsi="AZGCaspariT"/>
          <w:sz w:val="22"/>
          <w:szCs w:val="22"/>
        </w:rPr>
        <w:t xml:space="preserve"> dat de procedure gestart wordt</w:t>
      </w:r>
      <w:r w:rsidR="00233D36">
        <w:rPr>
          <w:rFonts w:ascii="AZGCaspariT" w:hAnsi="AZGCaspariT"/>
          <w:sz w:val="22"/>
          <w:szCs w:val="22"/>
        </w:rPr>
        <w:t xml:space="preserve">, of het een MNC- of een </w:t>
      </w:r>
      <w:proofErr w:type="spellStart"/>
      <w:r w:rsidR="00233D36">
        <w:rPr>
          <w:rFonts w:ascii="AZGCaspariT" w:hAnsi="AZGCaspariT"/>
          <w:sz w:val="22"/>
          <w:szCs w:val="22"/>
        </w:rPr>
        <w:t>cMNC</w:t>
      </w:r>
      <w:proofErr w:type="spellEnd"/>
      <w:r w:rsidR="00233D36">
        <w:rPr>
          <w:rFonts w:ascii="AZGCaspariT" w:hAnsi="AZGCaspariT"/>
          <w:sz w:val="22"/>
          <w:szCs w:val="22"/>
        </w:rPr>
        <w:t>-procedure betreft</w:t>
      </w:r>
      <w:r>
        <w:rPr>
          <w:rFonts w:ascii="AZGCaspariT" w:hAnsi="AZGCaspariT"/>
          <w:sz w:val="22"/>
          <w:szCs w:val="22"/>
        </w:rPr>
        <w:t xml:space="preserve"> en begeleid de patiënt (eventueel) naar de ruimte waar de afer</w:t>
      </w:r>
      <w:r w:rsidR="000E06E9">
        <w:rPr>
          <w:rFonts w:ascii="AZGCaspariT" w:hAnsi="AZGCaspariT"/>
          <w:sz w:val="22"/>
          <w:szCs w:val="22"/>
        </w:rPr>
        <w:t>e</w:t>
      </w:r>
      <w:r>
        <w:rPr>
          <w:rFonts w:ascii="AZGCaspariT" w:hAnsi="AZGCaspariT"/>
          <w:sz w:val="22"/>
          <w:szCs w:val="22"/>
        </w:rPr>
        <w:t xml:space="preserve">se plaats gaat vinden. </w:t>
      </w:r>
    </w:p>
    <w:p w14:paraId="560C11AD" w14:textId="568A21FC" w:rsidR="003A7563" w:rsidRDefault="003A7563" w:rsidP="003475C6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De hematoloog</w:t>
      </w:r>
      <w:r w:rsidR="00986388">
        <w:rPr>
          <w:rFonts w:ascii="AZGCaspariT" w:hAnsi="AZGCaspariT"/>
          <w:sz w:val="22"/>
          <w:szCs w:val="22"/>
        </w:rPr>
        <w:t>,</w:t>
      </w:r>
      <w:r>
        <w:rPr>
          <w:rFonts w:ascii="AZGCaspariT" w:hAnsi="AZGCaspariT"/>
          <w:sz w:val="22"/>
          <w:szCs w:val="22"/>
        </w:rPr>
        <w:t xml:space="preserve"> Hio</w:t>
      </w:r>
      <w:r w:rsidR="00DE2863">
        <w:rPr>
          <w:rFonts w:ascii="AZGCaspariT" w:hAnsi="AZGCaspariT"/>
          <w:sz w:val="22"/>
          <w:szCs w:val="22"/>
        </w:rPr>
        <w:t xml:space="preserve">, </w:t>
      </w:r>
      <w:r>
        <w:rPr>
          <w:rFonts w:ascii="AZGCaspariT" w:hAnsi="AZGCaspariT"/>
          <w:sz w:val="22"/>
          <w:szCs w:val="22"/>
        </w:rPr>
        <w:t xml:space="preserve">VS </w:t>
      </w:r>
      <w:r w:rsidR="00DE2863">
        <w:rPr>
          <w:rFonts w:ascii="AZGCaspariT" w:hAnsi="AZGCaspariT"/>
          <w:sz w:val="22"/>
          <w:szCs w:val="22"/>
        </w:rPr>
        <w:t xml:space="preserve">of </w:t>
      </w:r>
      <w:proofErr w:type="spellStart"/>
      <w:r w:rsidR="00DE2863">
        <w:rPr>
          <w:rFonts w:ascii="AZGCaspariT" w:hAnsi="AZGCaspariT"/>
          <w:sz w:val="22"/>
          <w:szCs w:val="22"/>
        </w:rPr>
        <w:t>Vios</w:t>
      </w:r>
      <w:proofErr w:type="spellEnd"/>
      <w:r w:rsidR="00DE2863">
        <w:rPr>
          <w:rFonts w:ascii="AZGCaspariT" w:hAnsi="AZGCaspariT"/>
          <w:sz w:val="22"/>
          <w:szCs w:val="22"/>
        </w:rPr>
        <w:t xml:space="preserve"> </w:t>
      </w:r>
      <w:r>
        <w:rPr>
          <w:rFonts w:ascii="AZGCaspariT" w:hAnsi="AZGCaspariT"/>
          <w:sz w:val="22"/>
          <w:szCs w:val="22"/>
        </w:rPr>
        <w:t>schrijft calcium conform het protocol “</w:t>
      </w:r>
      <w:r w:rsidRPr="003A7563">
        <w:rPr>
          <w:rFonts w:ascii="AZGCaspariT" w:hAnsi="AZGCaspariT"/>
          <w:sz w:val="22"/>
          <w:szCs w:val="22"/>
        </w:rPr>
        <w:t xml:space="preserve">Aferese van </w:t>
      </w:r>
      <w:proofErr w:type="spellStart"/>
      <w:r w:rsidRPr="003A7563">
        <w:rPr>
          <w:rFonts w:ascii="AZGCaspariT" w:hAnsi="AZGCaspariT"/>
          <w:sz w:val="22"/>
          <w:szCs w:val="22"/>
        </w:rPr>
        <w:t>hematopoietische</w:t>
      </w:r>
      <w:proofErr w:type="spellEnd"/>
      <w:r w:rsidRPr="003A7563">
        <w:rPr>
          <w:rFonts w:ascii="AZGCaspariT" w:hAnsi="AZGCaspariT"/>
          <w:sz w:val="22"/>
          <w:szCs w:val="22"/>
        </w:rPr>
        <w:t xml:space="preserve"> stamcellen uit het perifere bloed bij een volwassen patiënt” en eventu</w:t>
      </w:r>
      <w:r w:rsidR="00E6460C">
        <w:rPr>
          <w:rFonts w:ascii="AZGCaspariT" w:hAnsi="AZGCaspariT"/>
          <w:sz w:val="22"/>
          <w:szCs w:val="22"/>
        </w:rPr>
        <w:t>e</w:t>
      </w:r>
      <w:r w:rsidRPr="003A7563">
        <w:rPr>
          <w:rFonts w:ascii="AZGCaspariT" w:hAnsi="AZGCaspariT"/>
          <w:sz w:val="22"/>
          <w:szCs w:val="22"/>
        </w:rPr>
        <w:t>el bijkomende magnesium- of kaliumsuppletie (zie “Checklist voor start aferese”) voor</w:t>
      </w:r>
      <w:r w:rsidR="00DE2863">
        <w:rPr>
          <w:rFonts w:ascii="AZGCaspariT" w:hAnsi="AZGCaspariT"/>
          <w:sz w:val="22"/>
          <w:szCs w:val="22"/>
        </w:rPr>
        <w:t xml:space="preserve"> in het behandelplan. </w:t>
      </w:r>
    </w:p>
    <w:p w14:paraId="280F0D9D" w14:textId="77777777" w:rsidR="007B7E8B" w:rsidRPr="00B322ED" w:rsidRDefault="007B7E8B" w:rsidP="003475C6">
      <w:pPr>
        <w:ind w:left="360"/>
        <w:rPr>
          <w:rFonts w:ascii="AZGCaspariT" w:hAnsi="AZGCaspariT"/>
          <w:sz w:val="22"/>
          <w:szCs w:val="22"/>
        </w:rPr>
      </w:pPr>
    </w:p>
    <w:p w14:paraId="648A0BDC" w14:textId="77777777" w:rsidR="00B322ED" w:rsidRPr="00B322ED" w:rsidRDefault="00B322ED" w:rsidP="003475C6">
      <w:pPr>
        <w:ind w:left="360"/>
        <w:rPr>
          <w:rFonts w:ascii="AZGCaspariT" w:hAnsi="AZGCaspariT"/>
          <w:i/>
          <w:sz w:val="22"/>
          <w:szCs w:val="22"/>
        </w:rPr>
      </w:pPr>
      <w:r>
        <w:rPr>
          <w:rFonts w:ascii="AZGCaspariT" w:hAnsi="AZGCaspariT"/>
          <w:i/>
          <w:sz w:val="22"/>
          <w:szCs w:val="22"/>
        </w:rPr>
        <w:t>Indicatie allogene donor</w:t>
      </w:r>
    </w:p>
    <w:p w14:paraId="1EF5F03C" w14:textId="77777777" w:rsidR="00834832" w:rsidRDefault="007B7E8B" w:rsidP="00834832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De donor meldt zich op de dag van aferes</w:t>
      </w:r>
      <w:r w:rsidR="00834832">
        <w:rPr>
          <w:rFonts w:ascii="AZGCaspariT" w:hAnsi="AZGCaspariT"/>
          <w:sz w:val="22"/>
          <w:szCs w:val="22"/>
        </w:rPr>
        <w:t xml:space="preserve">e op de polikliniek hematologie. Hier worden alvast de benodigde controles zoals gewicht, bloeddruk en pols gemeten. </w:t>
      </w:r>
      <w:r w:rsidR="00233D36">
        <w:rPr>
          <w:rFonts w:ascii="AZGCaspariT" w:hAnsi="AZGCaspariT"/>
          <w:sz w:val="22"/>
          <w:szCs w:val="22"/>
        </w:rPr>
        <w:t>Er wordt geen bloed op de prikpoli afgenomen.</w:t>
      </w:r>
    </w:p>
    <w:p w14:paraId="5C0DE432" w14:textId="2B9FA5F6" w:rsidR="00834832" w:rsidRDefault="00834832" w:rsidP="00834832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De hematoloog, </w:t>
      </w:r>
      <w:r w:rsidR="00233D36">
        <w:rPr>
          <w:rFonts w:ascii="AZGCaspariT" w:hAnsi="AZGCaspariT"/>
          <w:sz w:val="22"/>
          <w:szCs w:val="22"/>
        </w:rPr>
        <w:t>Hio</w:t>
      </w:r>
      <w:r w:rsidR="00651E85">
        <w:rPr>
          <w:rFonts w:ascii="AZGCaspariT" w:hAnsi="AZGCaspariT"/>
          <w:sz w:val="22"/>
          <w:szCs w:val="22"/>
        </w:rPr>
        <w:t xml:space="preserve">, </w:t>
      </w:r>
      <w:r>
        <w:rPr>
          <w:rFonts w:ascii="AZGCaspariT" w:hAnsi="AZGCaspariT"/>
          <w:sz w:val="22"/>
          <w:szCs w:val="22"/>
        </w:rPr>
        <w:t>VS</w:t>
      </w:r>
      <w:r w:rsidR="00651E85">
        <w:rPr>
          <w:rFonts w:ascii="AZGCaspariT" w:hAnsi="AZGCaspariT"/>
          <w:sz w:val="22"/>
          <w:szCs w:val="22"/>
        </w:rPr>
        <w:t xml:space="preserve"> of </w:t>
      </w:r>
      <w:proofErr w:type="spellStart"/>
      <w:r w:rsidR="00651E85">
        <w:rPr>
          <w:rFonts w:ascii="AZGCaspariT" w:hAnsi="AZGCaspariT"/>
          <w:sz w:val="22"/>
          <w:szCs w:val="22"/>
        </w:rPr>
        <w:t>Vios</w:t>
      </w:r>
      <w:proofErr w:type="spellEnd"/>
      <w:r>
        <w:rPr>
          <w:rFonts w:ascii="AZGCaspariT" w:hAnsi="AZGCaspariT"/>
          <w:sz w:val="22"/>
          <w:szCs w:val="22"/>
        </w:rPr>
        <w:t xml:space="preserve"> keurt de </w:t>
      </w:r>
      <w:r w:rsidR="00491F58">
        <w:rPr>
          <w:rFonts w:ascii="AZGCaspariT" w:hAnsi="AZGCaspariT"/>
          <w:sz w:val="22"/>
          <w:szCs w:val="22"/>
        </w:rPr>
        <w:t xml:space="preserve">allogene </w:t>
      </w:r>
      <w:r>
        <w:rPr>
          <w:rFonts w:ascii="AZGCaspariT" w:hAnsi="AZGCaspariT"/>
          <w:sz w:val="22"/>
          <w:szCs w:val="22"/>
        </w:rPr>
        <w:t xml:space="preserve">donor volgens de </w:t>
      </w:r>
      <w:r w:rsidRPr="00A46528">
        <w:rPr>
          <w:rFonts w:ascii="AZGCaspariT" w:hAnsi="AZGCaspariT"/>
          <w:sz w:val="22"/>
          <w:szCs w:val="22"/>
        </w:rPr>
        <w:t>checklist voor start aferese</w:t>
      </w:r>
      <w:r>
        <w:rPr>
          <w:rFonts w:ascii="AZGCaspariT" w:hAnsi="AZGCaspariT"/>
          <w:sz w:val="22"/>
          <w:szCs w:val="22"/>
        </w:rPr>
        <w:t xml:space="preserve"> en geeft door aan de VC dat de procedure in gang gezet kan worden.</w:t>
      </w:r>
      <w:r w:rsidR="00233D36">
        <w:rPr>
          <w:rFonts w:ascii="AZGCaspariT" w:hAnsi="AZGCaspariT"/>
          <w:sz w:val="22"/>
          <w:szCs w:val="22"/>
        </w:rPr>
        <w:t xml:space="preserve"> Voor een met G-CSF gestimuleerde donor wordt </w:t>
      </w:r>
      <w:r w:rsidR="00665122">
        <w:rPr>
          <w:rFonts w:ascii="AZGCaspariT" w:hAnsi="AZGCaspariT"/>
          <w:sz w:val="22"/>
          <w:szCs w:val="22"/>
        </w:rPr>
        <w:t xml:space="preserve"> altijd </w:t>
      </w:r>
      <w:r w:rsidR="00233D36">
        <w:rPr>
          <w:rFonts w:ascii="AZGCaspariT" w:hAnsi="AZGCaspariT"/>
          <w:sz w:val="22"/>
          <w:szCs w:val="22"/>
        </w:rPr>
        <w:t xml:space="preserve">een </w:t>
      </w:r>
      <w:r w:rsidR="00665122">
        <w:rPr>
          <w:rFonts w:ascii="AZGCaspariT" w:hAnsi="AZGCaspariT"/>
          <w:sz w:val="22"/>
          <w:szCs w:val="22"/>
        </w:rPr>
        <w:t xml:space="preserve"> </w:t>
      </w:r>
      <w:r w:rsidR="00233D36">
        <w:rPr>
          <w:rFonts w:ascii="AZGCaspariT" w:hAnsi="AZGCaspariT"/>
          <w:sz w:val="22"/>
          <w:szCs w:val="22"/>
        </w:rPr>
        <w:t xml:space="preserve">MNC-procedure gestart. </w:t>
      </w:r>
      <w:r w:rsidR="00665122">
        <w:rPr>
          <w:rFonts w:ascii="AZGCaspariT" w:hAnsi="AZGCaspariT"/>
          <w:sz w:val="22"/>
          <w:szCs w:val="22"/>
        </w:rPr>
        <w:t xml:space="preserve"> Er wordt in het aferese behandelplan in EPIC oké voor behandeling</w:t>
      </w:r>
      <w:r w:rsidR="00651E85">
        <w:rPr>
          <w:rFonts w:ascii="AZGCaspariT" w:hAnsi="AZGCaspariT"/>
          <w:sz w:val="22"/>
          <w:szCs w:val="22"/>
        </w:rPr>
        <w:t xml:space="preserve"> en vast gelegd hoeveel er bewerkt moet worden. </w:t>
      </w:r>
    </w:p>
    <w:p w14:paraId="1BF8270F" w14:textId="77777777" w:rsidR="003A7563" w:rsidRDefault="003A7563" w:rsidP="003A7563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De hematoloog</w:t>
      </w:r>
      <w:r w:rsidR="00986388">
        <w:rPr>
          <w:rFonts w:ascii="AZGCaspariT" w:hAnsi="AZGCaspariT"/>
          <w:sz w:val="22"/>
          <w:szCs w:val="22"/>
        </w:rPr>
        <w:t>,</w:t>
      </w:r>
      <w:r>
        <w:rPr>
          <w:rFonts w:ascii="AZGCaspariT" w:hAnsi="AZGCaspariT"/>
          <w:sz w:val="22"/>
          <w:szCs w:val="22"/>
        </w:rPr>
        <w:t xml:space="preserve"> Hio of VS schrijft calcium conform het protocol “</w:t>
      </w:r>
      <w:r w:rsidRPr="00A46528">
        <w:rPr>
          <w:rFonts w:ascii="AZGCaspariT" w:hAnsi="AZGCaspariT"/>
          <w:sz w:val="22"/>
          <w:szCs w:val="22"/>
        </w:rPr>
        <w:t xml:space="preserve">Aferese van </w:t>
      </w:r>
      <w:proofErr w:type="spellStart"/>
      <w:r w:rsidRPr="00A46528">
        <w:rPr>
          <w:rFonts w:ascii="AZGCaspariT" w:hAnsi="AZGCaspariT"/>
          <w:sz w:val="22"/>
          <w:szCs w:val="22"/>
        </w:rPr>
        <w:t>hematopoietische</w:t>
      </w:r>
      <w:proofErr w:type="spellEnd"/>
      <w:r w:rsidRPr="00A46528">
        <w:rPr>
          <w:rFonts w:ascii="AZGCaspariT" w:hAnsi="AZGCaspariT"/>
          <w:sz w:val="22"/>
          <w:szCs w:val="22"/>
        </w:rPr>
        <w:t xml:space="preserve"> stamcellen of donorlymfocyten uit het perifere bloed bij een volwassen stamceldonor/familiedonor</w:t>
      </w:r>
      <w:r w:rsidRPr="003A7563">
        <w:rPr>
          <w:rFonts w:ascii="AZGCaspariT" w:hAnsi="AZGCaspariT"/>
          <w:sz w:val="22"/>
          <w:szCs w:val="22"/>
        </w:rPr>
        <w:t>” voor.</w:t>
      </w:r>
    </w:p>
    <w:p w14:paraId="19FF3C93" w14:textId="77777777" w:rsidR="007B7E8B" w:rsidRDefault="00834832" w:rsidP="003475C6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Bij aansluiten wordt lab volgens protocol afgenomen</w:t>
      </w:r>
      <w:r w:rsidR="00233D36">
        <w:rPr>
          <w:rFonts w:ascii="AZGCaspariT" w:hAnsi="AZGCaspariT"/>
          <w:sz w:val="22"/>
          <w:szCs w:val="22"/>
        </w:rPr>
        <w:t xml:space="preserve"> (leukocyten, hemoglobine, </w:t>
      </w:r>
      <w:proofErr w:type="spellStart"/>
      <w:r w:rsidR="00233D36">
        <w:rPr>
          <w:rFonts w:ascii="AZGCaspariT" w:hAnsi="AZGCaspariT"/>
          <w:sz w:val="22"/>
          <w:szCs w:val="22"/>
        </w:rPr>
        <w:t>hemato</w:t>
      </w:r>
      <w:r w:rsidR="00E6460C">
        <w:rPr>
          <w:rFonts w:ascii="AZGCaspariT" w:hAnsi="AZGCaspariT"/>
          <w:sz w:val="22"/>
          <w:szCs w:val="22"/>
        </w:rPr>
        <w:t>k</w:t>
      </w:r>
      <w:r w:rsidR="00233D36">
        <w:rPr>
          <w:rFonts w:ascii="AZGCaspariT" w:hAnsi="AZGCaspariT"/>
          <w:sz w:val="22"/>
          <w:szCs w:val="22"/>
        </w:rPr>
        <w:t>riet</w:t>
      </w:r>
      <w:proofErr w:type="spellEnd"/>
      <w:r w:rsidR="00233D36">
        <w:rPr>
          <w:rFonts w:ascii="AZGCaspariT" w:hAnsi="AZGCaspariT"/>
          <w:sz w:val="22"/>
          <w:szCs w:val="22"/>
        </w:rPr>
        <w:t xml:space="preserve">, trombocyten, natrium, ureum, </w:t>
      </w:r>
      <w:proofErr w:type="spellStart"/>
      <w:r w:rsidR="00233D36">
        <w:rPr>
          <w:rFonts w:ascii="AZGCaspariT" w:hAnsi="AZGCaspariT"/>
          <w:sz w:val="22"/>
          <w:szCs w:val="22"/>
        </w:rPr>
        <w:t>kreatinine</w:t>
      </w:r>
      <w:proofErr w:type="spellEnd"/>
      <w:r w:rsidR="00233D36">
        <w:rPr>
          <w:rFonts w:ascii="AZGCaspariT" w:hAnsi="AZGCaspariT"/>
          <w:sz w:val="22"/>
          <w:szCs w:val="22"/>
        </w:rPr>
        <w:t>, calcium, fosfaat, magnesium,</w:t>
      </w:r>
      <w:r w:rsidR="00C62A1F">
        <w:rPr>
          <w:rFonts w:ascii="AZGCaspariT" w:hAnsi="AZGCaspariT"/>
          <w:sz w:val="22"/>
          <w:szCs w:val="22"/>
        </w:rPr>
        <w:t xml:space="preserve"> albumine</w:t>
      </w:r>
      <w:r w:rsidR="00233D36">
        <w:rPr>
          <w:rFonts w:ascii="AZGCaspariT" w:hAnsi="AZGCaspariT"/>
          <w:sz w:val="22"/>
          <w:szCs w:val="22"/>
        </w:rPr>
        <w:t xml:space="preserve"> type &amp; screen en percentage CD34+-cellen)</w:t>
      </w:r>
      <w:r>
        <w:rPr>
          <w:rFonts w:ascii="AZGCaspariT" w:hAnsi="AZGCaspariT"/>
          <w:sz w:val="22"/>
          <w:szCs w:val="22"/>
        </w:rPr>
        <w:t xml:space="preserve">. </w:t>
      </w:r>
    </w:p>
    <w:p w14:paraId="6FC389DF" w14:textId="77777777" w:rsidR="00834832" w:rsidRDefault="00834832" w:rsidP="00834832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De afdeling bijzondere hematologie (UMCG) zet de </w:t>
      </w:r>
      <w:r w:rsidR="00A423AE">
        <w:rPr>
          <w:rFonts w:ascii="AZGCaspariT" w:hAnsi="AZGCaspariT"/>
          <w:sz w:val="22"/>
          <w:szCs w:val="22"/>
        </w:rPr>
        <w:t>CD</w:t>
      </w:r>
      <w:r>
        <w:rPr>
          <w:rFonts w:ascii="AZGCaspariT" w:hAnsi="AZGCaspariT"/>
          <w:sz w:val="22"/>
          <w:szCs w:val="22"/>
        </w:rPr>
        <w:t>34 bepaling in.</w:t>
      </w:r>
    </w:p>
    <w:p w14:paraId="3B8D323D" w14:textId="61609347" w:rsidR="00834832" w:rsidRDefault="00834832" w:rsidP="00834832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De afdeling bijzondere hematologie meldt de</w:t>
      </w:r>
      <w:r w:rsidR="0013010D">
        <w:rPr>
          <w:rFonts w:ascii="AZGCaspariT" w:hAnsi="AZGCaspariT"/>
          <w:sz w:val="22"/>
          <w:szCs w:val="22"/>
        </w:rPr>
        <w:t xml:space="preserve"> VS en bij diens afwezigheid de </w:t>
      </w:r>
      <w:r w:rsidR="00406740">
        <w:rPr>
          <w:rFonts w:ascii="AZGCaspariT" w:hAnsi="AZGCaspariT"/>
          <w:sz w:val="22"/>
          <w:szCs w:val="22"/>
        </w:rPr>
        <w:t xml:space="preserve"> VC</w:t>
      </w:r>
      <w:r>
        <w:rPr>
          <w:rFonts w:ascii="AZGCaspariT" w:hAnsi="AZGCaspariT"/>
          <w:sz w:val="22"/>
          <w:szCs w:val="22"/>
        </w:rPr>
        <w:t xml:space="preserve"> </w:t>
      </w:r>
      <w:r w:rsidR="00406740">
        <w:rPr>
          <w:rFonts w:ascii="AZGCaspariT" w:hAnsi="AZGCaspariT"/>
          <w:sz w:val="22"/>
          <w:szCs w:val="22"/>
        </w:rPr>
        <w:t xml:space="preserve">dat de uitslag bekend is. </w:t>
      </w:r>
      <w:r w:rsidR="0013010D">
        <w:rPr>
          <w:rFonts w:ascii="AZGCaspariT" w:hAnsi="AZGCaspariT"/>
          <w:sz w:val="22"/>
          <w:szCs w:val="22"/>
        </w:rPr>
        <w:t xml:space="preserve"> Indien de uitslag aan de </w:t>
      </w:r>
      <w:r w:rsidR="00406740">
        <w:rPr>
          <w:rFonts w:ascii="AZGCaspariT" w:hAnsi="AZGCaspariT"/>
          <w:sz w:val="22"/>
          <w:szCs w:val="22"/>
        </w:rPr>
        <w:t xml:space="preserve"> VC</w:t>
      </w:r>
      <w:r w:rsidR="0013010D">
        <w:rPr>
          <w:rFonts w:ascii="AZGCaspariT" w:hAnsi="AZGCaspariT"/>
          <w:sz w:val="22"/>
          <w:szCs w:val="22"/>
        </w:rPr>
        <w:t xml:space="preserve"> wordt doorgegeven, </w:t>
      </w:r>
      <w:r w:rsidR="00406740">
        <w:rPr>
          <w:rFonts w:ascii="AZGCaspariT" w:hAnsi="AZGCaspariT"/>
          <w:sz w:val="22"/>
          <w:szCs w:val="22"/>
        </w:rPr>
        <w:t xml:space="preserve">overlegd </w:t>
      </w:r>
      <w:r w:rsidR="0013010D">
        <w:rPr>
          <w:rFonts w:ascii="AZGCaspariT" w:hAnsi="AZGCaspariT"/>
          <w:sz w:val="22"/>
          <w:szCs w:val="22"/>
        </w:rPr>
        <w:t xml:space="preserve"> </w:t>
      </w:r>
      <w:r w:rsidR="00406740">
        <w:rPr>
          <w:rFonts w:ascii="AZGCaspariT" w:hAnsi="AZGCaspariT"/>
          <w:sz w:val="22"/>
          <w:szCs w:val="22"/>
        </w:rPr>
        <w:t>deze</w:t>
      </w:r>
      <w:r w:rsidR="0013010D">
        <w:rPr>
          <w:rFonts w:ascii="AZGCaspariT" w:hAnsi="AZGCaspariT"/>
          <w:sz w:val="22"/>
          <w:szCs w:val="22"/>
        </w:rPr>
        <w:t xml:space="preserve"> de </w:t>
      </w:r>
      <w:r w:rsidR="00406740">
        <w:rPr>
          <w:rFonts w:ascii="AZGCaspariT" w:hAnsi="AZGCaspariT"/>
          <w:sz w:val="22"/>
          <w:szCs w:val="22"/>
        </w:rPr>
        <w:t xml:space="preserve"> uitslag met de </w:t>
      </w:r>
      <w:r w:rsidR="001B4491">
        <w:rPr>
          <w:rFonts w:ascii="AZGCaspariT" w:hAnsi="AZGCaspariT"/>
          <w:sz w:val="22"/>
          <w:szCs w:val="22"/>
        </w:rPr>
        <w:t>h</w:t>
      </w:r>
      <w:r>
        <w:rPr>
          <w:rFonts w:ascii="AZGCaspariT" w:hAnsi="AZGCaspariT"/>
          <w:sz w:val="22"/>
          <w:szCs w:val="22"/>
        </w:rPr>
        <w:t xml:space="preserve">ematoloog, </w:t>
      </w:r>
      <w:r w:rsidR="00A423AE">
        <w:rPr>
          <w:rFonts w:ascii="AZGCaspariT" w:hAnsi="AZGCaspariT"/>
          <w:sz w:val="22"/>
          <w:szCs w:val="22"/>
        </w:rPr>
        <w:t>Hio</w:t>
      </w:r>
      <w:r w:rsidR="00665122">
        <w:rPr>
          <w:rFonts w:ascii="AZGCaspariT" w:hAnsi="AZGCaspariT"/>
          <w:sz w:val="22"/>
          <w:szCs w:val="22"/>
        </w:rPr>
        <w:t xml:space="preserve">, </w:t>
      </w:r>
      <w:r>
        <w:rPr>
          <w:rFonts w:ascii="AZGCaspariT" w:hAnsi="AZGCaspariT"/>
          <w:sz w:val="22"/>
          <w:szCs w:val="22"/>
        </w:rPr>
        <w:t>VS</w:t>
      </w:r>
      <w:r w:rsidR="00665122">
        <w:rPr>
          <w:rFonts w:ascii="AZGCaspariT" w:hAnsi="AZGCaspariT"/>
          <w:sz w:val="22"/>
          <w:szCs w:val="22"/>
        </w:rPr>
        <w:t xml:space="preserve"> of </w:t>
      </w:r>
      <w:proofErr w:type="spellStart"/>
      <w:r w:rsidR="00665122">
        <w:rPr>
          <w:rFonts w:ascii="AZGCaspariT" w:hAnsi="AZGCaspariT"/>
          <w:sz w:val="22"/>
          <w:szCs w:val="22"/>
        </w:rPr>
        <w:t>vios</w:t>
      </w:r>
      <w:proofErr w:type="spellEnd"/>
      <w:r>
        <w:rPr>
          <w:rFonts w:ascii="AZGCaspariT" w:hAnsi="AZGCaspariT"/>
          <w:sz w:val="22"/>
          <w:szCs w:val="22"/>
        </w:rPr>
        <w:t xml:space="preserve"> .</w:t>
      </w:r>
    </w:p>
    <w:p w14:paraId="32CD1C50" w14:textId="2CF074D5" w:rsidR="00AF6A9B" w:rsidRDefault="00834832" w:rsidP="003A7563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De hematoloog, </w:t>
      </w:r>
      <w:r w:rsidR="00A423AE">
        <w:rPr>
          <w:rFonts w:ascii="AZGCaspariT" w:hAnsi="AZGCaspariT"/>
          <w:sz w:val="22"/>
          <w:szCs w:val="22"/>
        </w:rPr>
        <w:t>Hio</w:t>
      </w:r>
      <w:r w:rsidR="00665122">
        <w:rPr>
          <w:rFonts w:ascii="AZGCaspariT" w:hAnsi="AZGCaspariT"/>
          <w:sz w:val="22"/>
          <w:szCs w:val="22"/>
        </w:rPr>
        <w:t xml:space="preserve">, </w:t>
      </w:r>
      <w:r>
        <w:rPr>
          <w:rFonts w:ascii="AZGCaspariT" w:hAnsi="AZGCaspariT"/>
          <w:sz w:val="22"/>
          <w:szCs w:val="22"/>
        </w:rPr>
        <w:t xml:space="preserve">VS </w:t>
      </w:r>
      <w:proofErr w:type="spellStart"/>
      <w:r w:rsidR="00665122">
        <w:rPr>
          <w:rFonts w:ascii="AZGCaspariT" w:hAnsi="AZGCaspariT"/>
          <w:sz w:val="22"/>
          <w:szCs w:val="22"/>
        </w:rPr>
        <w:t>vios</w:t>
      </w:r>
      <w:proofErr w:type="spellEnd"/>
      <w:r w:rsidR="00665122">
        <w:rPr>
          <w:rFonts w:ascii="AZGCaspariT" w:hAnsi="AZGCaspariT"/>
          <w:sz w:val="22"/>
          <w:szCs w:val="22"/>
        </w:rPr>
        <w:t xml:space="preserve"> </w:t>
      </w:r>
      <w:r>
        <w:rPr>
          <w:rFonts w:ascii="AZGCaspariT" w:hAnsi="AZGCaspariT"/>
          <w:sz w:val="22"/>
          <w:szCs w:val="22"/>
        </w:rPr>
        <w:t>beoordeeld</w:t>
      </w:r>
      <w:r w:rsidR="00CF6D46">
        <w:rPr>
          <w:rFonts w:ascii="AZGCaspariT" w:hAnsi="AZGCaspariT"/>
          <w:sz w:val="22"/>
          <w:szCs w:val="22"/>
        </w:rPr>
        <w:t xml:space="preserve"> hoeveel liter bloed er bewerkt gaat worden</w:t>
      </w:r>
      <w:r w:rsidR="00AF6A9B">
        <w:rPr>
          <w:rFonts w:ascii="AZGCaspariT" w:hAnsi="AZGCaspariT"/>
          <w:sz w:val="22"/>
          <w:szCs w:val="22"/>
        </w:rPr>
        <w:t>.</w:t>
      </w:r>
      <w:r w:rsidR="00CF6D46">
        <w:rPr>
          <w:rFonts w:ascii="AZGCaspariT" w:hAnsi="AZGCaspariT"/>
          <w:sz w:val="22"/>
          <w:szCs w:val="22"/>
        </w:rPr>
        <w:t xml:space="preserve"> </w:t>
      </w:r>
      <w:r w:rsidR="00406740">
        <w:rPr>
          <w:rFonts w:ascii="AZGCaspariT" w:hAnsi="AZGCaspariT"/>
          <w:sz w:val="22"/>
          <w:szCs w:val="22"/>
        </w:rPr>
        <w:t xml:space="preserve"> </w:t>
      </w:r>
    </w:p>
    <w:p w14:paraId="54886DEE" w14:textId="59C0FC9C" w:rsidR="00275DCF" w:rsidRDefault="00406740" w:rsidP="00665122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De uiteindelijke beslissing over het te bewerken bloedvolume wordt altijd in overleg met de superviserend hematoloog genomen.</w:t>
      </w:r>
    </w:p>
    <w:p w14:paraId="5BA7E17C" w14:textId="528232B4" w:rsidR="00665122" w:rsidRDefault="00665122" w:rsidP="00665122">
      <w:pPr>
        <w:ind w:left="360"/>
        <w:rPr>
          <w:rFonts w:ascii="AZGCaspariT" w:hAnsi="AZGCaspariT"/>
          <w:sz w:val="22"/>
          <w:szCs w:val="22"/>
        </w:rPr>
      </w:pPr>
    </w:p>
    <w:p w14:paraId="67E0095E" w14:textId="75784AE1" w:rsidR="00665122" w:rsidRDefault="00665122" w:rsidP="00665122">
      <w:pPr>
        <w:ind w:left="360"/>
        <w:rPr>
          <w:rFonts w:ascii="AZGCaspariT" w:hAnsi="AZGCaspariT"/>
          <w:i/>
          <w:iCs/>
          <w:sz w:val="22"/>
          <w:szCs w:val="22"/>
        </w:rPr>
      </w:pPr>
      <w:r>
        <w:rPr>
          <w:rFonts w:ascii="AZGCaspariT" w:hAnsi="AZGCaspariT"/>
          <w:i/>
          <w:iCs/>
          <w:sz w:val="22"/>
          <w:szCs w:val="22"/>
        </w:rPr>
        <w:t xml:space="preserve">Indicatie  </w:t>
      </w:r>
      <w:r w:rsidR="00651E85">
        <w:rPr>
          <w:rFonts w:ascii="AZGCaspariT" w:hAnsi="AZGCaspariT"/>
          <w:i/>
          <w:iCs/>
          <w:sz w:val="22"/>
          <w:szCs w:val="22"/>
        </w:rPr>
        <w:t>T-cel afname</w:t>
      </w:r>
    </w:p>
    <w:p w14:paraId="14E6CDF7" w14:textId="2763D376" w:rsidR="00651E85" w:rsidRDefault="00651E85" w:rsidP="00665122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Afhankelijk van de indicatie (DLI of CAR-T) zijn de procedures gelijk aan de indicaties van autologe of allogene donor. </w:t>
      </w:r>
    </w:p>
    <w:p w14:paraId="3BB42C1C" w14:textId="4A2D5679" w:rsidR="00651E85" w:rsidRDefault="00651E85" w:rsidP="00665122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De procedure is altijd een MNC. </w:t>
      </w:r>
    </w:p>
    <w:p w14:paraId="6037D272" w14:textId="114EDA3A" w:rsidR="00121B37" w:rsidRDefault="00121B37" w:rsidP="00665122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Voor CAR-T moet vooraf  extra lab worden afgenomen T-cellen, Ureum, </w:t>
      </w:r>
      <w:r w:rsidRPr="00121B37">
        <w:rPr>
          <w:rFonts w:ascii="AZGCaspariT" w:hAnsi="AZGCaspariT"/>
          <w:sz w:val="22"/>
          <w:szCs w:val="22"/>
        </w:rPr>
        <w:t>Alkalische fosfatase</w:t>
      </w:r>
      <w:r>
        <w:rPr>
          <w:rFonts w:ascii="AZGCaspariT" w:hAnsi="AZGCaspariT"/>
          <w:sz w:val="22"/>
          <w:szCs w:val="22"/>
        </w:rPr>
        <w:t>,</w:t>
      </w:r>
      <w:r w:rsidRPr="00121B37">
        <w:t xml:space="preserve"> </w:t>
      </w:r>
      <w:r w:rsidRPr="00121B37">
        <w:rPr>
          <w:rFonts w:ascii="AZGCaspariT" w:hAnsi="AZGCaspariT"/>
          <w:sz w:val="22"/>
          <w:szCs w:val="22"/>
        </w:rPr>
        <w:t>Gamma-GT</w:t>
      </w:r>
      <w:r>
        <w:rPr>
          <w:rFonts w:ascii="AZGCaspariT" w:hAnsi="AZGCaspariT"/>
          <w:sz w:val="22"/>
          <w:szCs w:val="22"/>
        </w:rPr>
        <w:t>,</w:t>
      </w:r>
      <w:r w:rsidRPr="00121B37">
        <w:t xml:space="preserve"> </w:t>
      </w:r>
      <w:r w:rsidRPr="00121B37">
        <w:rPr>
          <w:rFonts w:ascii="AZGCaspariT" w:hAnsi="AZGCaspariT"/>
          <w:sz w:val="22"/>
          <w:szCs w:val="22"/>
        </w:rPr>
        <w:t>Glucose</w:t>
      </w:r>
      <w:r>
        <w:rPr>
          <w:rFonts w:ascii="AZGCaspariT" w:hAnsi="AZGCaspariT"/>
          <w:sz w:val="22"/>
          <w:szCs w:val="22"/>
        </w:rPr>
        <w:t>,</w:t>
      </w:r>
      <w:r w:rsidRPr="00121B37">
        <w:t xml:space="preserve"> </w:t>
      </w:r>
      <w:r w:rsidRPr="00121B37">
        <w:rPr>
          <w:rFonts w:ascii="AZGCaspariT" w:hAnsi="AZGCaspariT"/>
          <w:sz w:val="22"/>
          <w:szCs w:val="22"/>
        </w:rPr>
        <w:t>CRP</w:t>
      </w:r>
      <w:r>
        <w:rPr>
          <w:rFonts w:ascii="AZGCaspariT" w:hAnsi="AZGCaspariT"/>
          <w:sz w:val="22"/>
          <w:szCs w:val="22"/>
        </w:rPr>
        <w:t>,</w:t>
      </w:r>
      <w:r w:rsidRPr="00121B37">
        <w:t xml:space="preserve"> </w:t>
      </w:r>
      <w:r w:rsidRPr="00121B37">
        <w:rPr>
          <w:rFonts w:ascii="AZGCaspariT" w:hAnsi="AZGCaspariT"/>
          <w:sz w:val="22"/>
          <w:szCs w:val="22"/>
        </w:rPr>
        <w:t>APTT</w:t>
      </w:r>
      <w:r>
        <w:rPr>
          <w:rFonts w:ascii="AZGCaspariT" w:hAnsi="AZGCaspariT"/>
          <w:sz w:val="22"/>
          <w:szCs w:val="22"/>
        </w:rPr>
        <w:t>,</w:t>
      </w:r>
      <w:r w:rsidRPr="00121B37">
        <w:t xml:space="preserve"> </w:t>
      </w:r>
      <w:r w:rsidRPr="00121B37">
        <w:rPr>
          <w:rFonts w:ascii="AZGCaspariT" w:hAnsi="AZGCaspariT"/>
          <w:sz w:val="22"/>
          <w:szCs w:val="22"/>
        </w:rPr>
        <w:t>PT</w:t>
      </w:r>
      <w:r>
        <w:rPr>
          <w:rFonts w:ascii="AZGCaspariT" w:hAnsi="AZGCaspariT"/>
          <w:sz w:val="22"/>
          <w:szCs w:val="22"/>
        </w:rPr>
        <w:t>,</w:t>
      </w:r>
      <w:r w:rsidRPr="00121B37">
        <w:t xml:space="preserve"> </w:t>
      </w:r>
      <w:proofErr w:type="spellStart"/>
      <w:r w:rsidRPr="00121B37">
        <w:rPr>
          <w:rFonts w:ascii="AZGCaspariT" w:hAnsi="AZGCaspariT"/>
          <w:sz w:val="22"/>
          <w:szCs w:val="22"/>
        </w:rPr>
        <w:t>Ferritine</w:t>
      </w:r>
      <w:proofErr w:type="spellEnd"/>
      <w:r>
        <w:rPr>
          <w:rFonts w:ascii="AZGCaspariT" w:hAnsi="AZGCaspariT"/>
          <w:sz w:val="22"/>
          <w:szCs w:val="22"/>
        </w:rPr>
        <w:t xml:space="preserve">, LDH, </w:t>
      </w:r>
      <w:r w:rsidRPr="00121B37">
        <w:rPr>
          <w:rFonts w:ascii="AZGCaspariT" w:hAnsi="AZGCaspariT"/>
          <w:sz w:val="22"/>
          <w:szCs w:val="22"/>
        </w:rPr>
        <w:tab/>
        <w:t xml:space="preserve">Research: </w:t>
      </w:r>
      <w:proofErr w:type="spellStart"/>
      <w:r w:rsidRPr="00121B37">
        <w:rPr>
          <w:rFonts w:ascii="AZGCaspariT" w:hAnsi="AZGCaspariT"/>
          <w:sz w:val="22"/>
          <w:szCs w:val="22"/>
        </w:rPr>
        <w:t>OncoLifeS</w:t>
      </w:r>
      <w:proofErr w:type="spellEnd"/>
      <w:r>
        <w:rPr>
          <w:rFonts w:ascii="AZGCaspariT" w:hAnsi="AZGCaspariT"/>
          <w:sz w:val="22"/>
          <w:szCs w:val="22"/>
        </w:rPr>
        <w:t xml:space="preserve">, </w:t>
      </w:r>
      <w:r w:rsidRPr="00121B37">
        <w:rPr>
          <w:rFonts w:ascii="AZGCaspariT" w:hAnsi="AZGCaspariT"/>
          <w:sz w:val="22"/>
          <w:szCs w:val="22"/>
        </w:rPr>
        <w:t xml:space="preserve">EDTA (opslag bloedbuis </w:t>
      </w:r>
      <w:proofErr w:type="spellStart"/>
      <w:r w:rsidRPr="00121B37">
        <w:rPr>
          <w:rFonts w:ascii="AZGCaspariT" w:hAnsi="AZGCaspariT"/>
          <w:sz w:val="22"/>
          <w:szCs w:val="22"/>
        </w:rPr>
        <w:t>tbv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 DNA)</w:t>
      </w:r>
      <w:r>
        <w:rPr>
          <w:rFonts w:ascii="AZGCaspariT" w:hAnsi="AZGCaspariT"/>
          <w:sz w:val="22"/>
          <w:szCs w:val="22"/>
        </w:rPr>
        <w:t xml:space="preserve">, </w:t>
      </w:r>
      <w:r w:rsidRPr="00121B37">
        <w:rPr>
          <w:rFonts w:ascii="AZGCaspariT" w:hAnsi="AZGCaspariT"/>
          <w:sz w:val="22"/>
          <w:szCs w:val="22"/>
        </w:rPr>
        <w:t xml:space="preserve">Research: </w:t>
      </w:r>
      <w:proofErr w:type="spellStart"/>
      <w:r w:rsidRPr="00121B37">
        <w:rPr>
          <w:rFonts w:ascii="AZGCaspariT" w:hAnsi="AZGCaspariT"/>
          <w:sz w:val="22"/>
          <w:szCs w:val="22"/>
        </w:rPr>
        <w:t>OncoLifeS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 EDTA plasma + </w:t>
      </w:r>
      <w:proofErr w:type="spellStart"/>
      <w:r w:rsidRPr="00121B37">
        <w:rPr>
          <w:rFonts w:ascii="AZGCaspariT" w:hAnsi="AZGCaspariT"/>
          <w:sz w:val="22"/>
          <w:szCs w:val="22"/>
        </w:rPr>
        <w:t>buffycoat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 opslag standaard, Research: </w:t>
      </w:r>
      <w:proofErr w:type="spellStart"/>
      <w:r w:rsidRPr="00121B37">
        <w:rPr>
          <w:rFonts w:ascii="AZGCaspariT" w:hAnsi="AZGCaspariT"/>
          <w:sz w:val="22"/>
          <w:szCs w:val="22"/>
        </w:rPr>
        <w:t>OncoLifeS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 serum (stolbuis) opslag -standaard, Research: </w:t>
      </w:r>
      <w:proofErr w:type="spellStart"/>
      <w:r w:rsidRPr="00121B37">
        <w:rPr>
          <w:rFonts w:ascii="AZGCaspariT" w:hAnsi="AZGCaspariT"/>
          <w:sz w:val="22"/>
          <w:szCs w:val="22"/>
        </w:rPr>
        <w:t>OncoLifeS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 </w:t>
      </w:r>
      <w:proofErr w:type="spellStart"/>
      <w:r w:rsidRPr="00121B37">
        <w:rPr>
          <w:rFonts w:ascii="AZGCaspariT" w:hAnsi="AZGCaspariT"/>
          <w:sz w:val="22"/>
          <w:szCs w:val="22"/>
        </w:rPr>
        <w:t>Streckbuis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 (plasma </w:t>
      </w:r>
      <w:proofErr w:type="spellStart"/>
      <w:r w:rsidRPr="00121B37">
        <w:rPr>
          <w:rFonts w:ascii="AZGCaspariT" w:hAnsi="AZGCaspariT"/>
          <w:sz w:val="22"/>
          <w:szCs w:val="22"/>
        </w:rPr>
        <w:t>cf</w:t>
      </w:r>
      <w:proofErr w:type="spellEnd"/>
      <w:r w:rsidRPr="00121B37">
        <w:rPr>
          <w:rFonts w:ascii="AZGCaspariT" w:hAnsi="AZGCaspariT"/>
          <w:sz w:val="22"/>
          <w:szCs w:val="22"/>
        </w:rPr>
        <w:t>-DNA) opslag</w:t>
      </w:r>
    </w:p>
    <w:p w14:paraId="1695FDF6" w14:textId="64D1D2FD" w:rsidR="00121B37" w:rsidRDefault="00121B37" w:rsidP="00665122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Na de procedure extra bepalen van  </w:t>
      </w:r>
      <w:proofErr w:type="spellStart"/>
      <w:r w:rsidRPr="00121B37">
        <w:rPr>
          <w:rFonts w:ascii="AZGCaspariT" w:hAnsi="AZGCaspariT"/>
          <w:sz w:val="22"/>
          <w:szCs w:val="22"/>
        </w:rPr>
        <w:t>Celtelling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 (</w:t>
      </w:r>
      <w:proofErr w:type="spellStart"/>
      <w:r w:rsidRPr="00121B37">
        <w:rPr>
          <w:rFonts w:ascii="AZGCaspariT" w:hAnsi="AZGCaspariT"/>
          <w:sz w:val="22"/>
          <w:szCs w:val="22"/>
        </w:rPr>
        <w:t>Leuko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, </w:t>
      </w:r>
      <w:proofErr w:type="spellStart"/>
      <w:r w:rsidRPr="00121B37">
        <w:rPr>
          <w:rFonts w:ascii="AZGCaspariT" w:hAnsi="AZGCaspariT"/>
          <w:sz w:val="22"/>
          <w:szCs w:val="22"/>
        </w:rPr>
        <w:t>Ery</w:t>
      </w:r>
      <w:proofErr w:type="spellEnd"/>
      <w:r w:rsidRPr="00121B37">
        <w:rPr>
          <w:rFonts w:ascii="AZGCaspariT" w:hAnsi="AZGCaspariT"/>
          <w:sz w:val="22"/>
          <w:szCs w:val="22"/>
        </w:rPr>
        <w:t>) (overig materiaal)</w:t>
      </w:r>
      <w:r>
        <w:rPr>
          <w:rFonts w:ascii="AZGCaspariT" w:hAnsi="AZGCaspariT"/>
          <w:sz w:val="22"/>
          <w:szCs w:val="22"/>
        </w:rPr>
        <w:t xml:space="preserve">, </w:t>
      </w:r>
      <w:proofErr w:type="spellStart"/>
      <w:r w:rsidRPr="00121B37">
        <w:rPr>
          <w:rFonts w:ascii="AZGCaspariT" w:hAnsi="AZGCaspariT"/>
          <w:sz w:val="22"/>
          <w:szCs w:val="22"/>
        </w:rPr>
        <w:t>Hb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, </w:t>
      </w:r>
      <w:proofErr w:type="spellStart"/>
      <w:r w:rsidRPr="00121B37">
        <w:rPr>
          <w:rFonts w:ascii="AZGCaspariT" w:hAnsi="AZGCaspariT"/>
          <w:sz w:val="22"/>
          <w:szCs w:val="22"/>
        </w:rPr>
        <w:t>Ht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 (overig materiaal)</w:t>
      </w:r>
      <w:r>
        <w:rPr>
          <w:rFonts w:ascii="AZGCaspariT" w:hAnsi="AZGCaspariT"/>
          <w:sz w:val="22"/>
          <w:szCs w:val="22"/>
        </w:rPr>
        <w:t xml:space="preserve">, </w:t>
      </w:r>
      <w:r w:rsidRPr="00121B37">
        <w:rPr>
          <w:rFonts w:ascii="AZGCaspariT" w:hAnsi="AZGCaspariT"/>
          <w:sz w:val="22"/>
          <w:szCs w:val="22"/>
        </w:rPr>
        <w:t>T cellen (CD3/4/8)</w:t>
      </w:r>
    </w:p>
    <w:p w14:paraId="64ABB6E9" w14:textId="77777777" w:rsidR="00121B37" w:rsidRDefault="00121B37" w:rsidP="00121B37">
      <w:pPr>
        <w:spacing w:before="60" w:after="120"/>
        <w:ind w:left="240" w:right="1"/>
        <w:rPr>
          <w:rFonts w:ascii="inherit" w:hAnsi="inherit" w:cs="inherit"/>
          <w:color w:val="000000"/>
        </w:rPr>
      </w:pPr>
    </w:p>
    <w:p w14:paraId="456D4E42" w14:textId="05CCA301" w:rsidR="00121B37" w:rsidRDefault="00121B37" w:rsidP="00665122">
      <w:pPr>
        <w:ind w:left="360"/>
        <w:rPr>
          <w:rFonts w:ascii="AZGCaspariT" w:hAnsi="AZGCaspariT"/>
          <w:sz w:val="22"/>
          <w:szCs w:val="22"/>
        </w:rPr>
      </w:pPr>
    </w:p>
    <w:p w14:paraId="491B171A" w14:textId="77777777" w:rsidR="00121B37" w:rsidRPr="00121B37" w:rsidRDefault="00121B37" w:rsidP="00121B37">
      <w:pPr>
        <w:autoSpaceDE w:val="0"/>
        <w:autoSpaceDN w:val="0"/>
        <w:adjustRightInd w:val="0"/>
        <w:spacing w:before="60" w:after="120"/>
        <w:ind w:left="240" w:right="1"/>
        <w:rPr>
          <w:rFonts w:ascii="inherit" w:hAnsi="inherit" w:cs="inherit"/>
          <w:color w:val="000000"/>
          <w:lang w:eastAsia="en-US"/>
        </w:rPr>
      </w:pPr>
    </w:p>
    <w:p w14:paraId="467156D5" w14:textId="0FBF0493" w:rsidR="00651E85" w:rsidRDefault="00651E85" w:rsidP="00665122">
      <w:pPr>
        <w:ind w:left="360"/>
        <w:rPr>
          <w:rFonts w:ascii="AZGCaspariT" w:hAnsi="AZGCaspariT"/>
          <w:sz w:val="22"/>
          <w:szCs w:val="22"/>
        </w:rPr>
      </w:pPr>
    </w:p>
    <w:p w14:paraId="2E1F3E3D" w14:textId="7FA384E5" w:rsidR="00121B37" w:rsidRDefault="00121B37" w:rsidP="00665122">
      <w:pPr>
        <w:ind w:left="360"/>
        <w:rPr>
          <w:rFonts w:ascii="AZGCaspariT" w:hAnsi="AZGCaspariT"/>
          <w:sz w:val="22"/>
          <w:szCs w:val="22"/>
        </w:rPr>
      </w:pPr>
    </w:p>
    <w:p w14:paraId="3F2E441F" w14:textId="77777777" w:rsidR="00121B37" w:rsidRPr="00651E85" w:rsidRDefault="00121B37" w:rsidP="00665122">
      <w:pPr>
        <w:ind w:left="360"/>
        <w:rPr>
          <w:rFonts w:ascii="AZGCaspariT" w:hAnsi="AZGCaspariT"/>
          <w:sz w:val="22"/>
          <w:szCs w:val="22"/>
        </w:rPr>
      </w:pPr>
    </w:p>
    <w:p w14:paraId="10EE23F9" w14:textId="77777777" w:rsidR="00275DCF" w:rsidRPr="00A46528" w:rsidRDefault="00275DCF" w:rsidP="00A46528">
      <w:pPr>
        <w:pStyle w:val="Lijstalinea"/>
        <w:numPr>
          <w:ilvl w:val="0"/>
          <w:numId w:val="3"/>
        </w:numPr>
        <w:rPr>
          <w:rFonts w:ascii="AZGCaspariT" w:hAnsi="AZGCaspariT"/>
          <w:b/>
          <w:sz w:val="22"/>
          <w:szCs w:val="22"/>
        </w:rPr>
      </w:pPr>
      <w:r w:rsidRPr="00A46528">
        <w:rPr>
          <w:rFonts w:ascii="AZGCaspariT" w:hAnsi="AZGCaspariT"/>
          <w:b/>
          <w:sz w:val="22"/>
          <w:szCs w:val="22"/>
        </w:rPr>
        <w:t>Problemen tijdens / na de aferese</w:t>
      </w:r>
    </w:p>
    <w:p w14:paraId="1AE6D024" w14:textId="5F79D7F1" w:rsidR="00A6564A" w:rsidRDefault="00275DCF" w:rsidP="00A46528">
      <w:pPr>
        <w:pStyle w:val="Lijstalinea"/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Indien zich tijdens of in aansluiting aan de aferese problemen voordoen wordt in eerste insta</w:t>
      </w:r>
      <w:r w:rsidR="00AA57B5">
        <w:rPr>
          <w:rFonts w:ascii="AZGCaspariT" w:hAnsi="AZGCaspariT"/>
          <w:sz w:val="22"/>
          <w:szCs w:val="22"/>
        </w:rPr>
        <w:t>ntie overlegd met de hematoloog,</w:t>
      </w:r>
      <w:r>
        <w:rPr>
          <w:rFonts w:ascii="AZGCaspariT" w:hAnsi="AZGCaspariT"/>
          <w:sz w:val="22"/>
          <w:szCs w:val="22"/>
        </w:rPr>
        <w:t xml:space="preserve"> Hio of VS die de (autologe of allogene) donor voor start </w:t>
      </w:r>
      <w:r w:rsidR="00AA57B5">
        <w:rPr>
          <w:rFonts w:ascii="AZGCaspariT" w:hAnsi="AZGCaspariT"/>
          <w:sz w:val="22"/>
          <w:szCs w:val="22"/>
        </w:rPr>
        <w:t xml:space="preserve">van de procedure </w:t>
      </w:r>
      <w:proofErr w:type="spellStart"/>
      <w:r>
        <w:rPr>
          <w:rFonts w:ascii="AZGCaspariT" w:hAnsi="AZGCaspariT"/>
          <w:sz w:val="22"/>
          <w:szCs w:val="22"/>
        </w:rPr>
        <w:t>ingekeurd</w:t>
      </w:r>
      <w:proofErr w:type="spellEnd"/>
      <w:r>
        <w:rPr>
          <w:rFonts w:ascii="AZGCaspariT" w:hAnsi="AZGCaspariT"/>
          <w:sz w:val="22"/>
          <w:szCs w:val="22"/>
        </w:rPr>
        <w:t xml:space="preserve"> heeft. </w:t>
      </w:r>
      <w:r w:rsidR="008C520C">
        <w:rPr>
          <w:rFonts w:ascii="AZGCaspariT" w:hAnsi="AZGCaspariT"/>
          <w:sz w:val="22"/>
          <w:szCs w:val="22"/>
        </w:rPr>
        <w:t xml:space="preserve">Hij/zij is de in eerste instantie voor beoordeling aangewezen persoon of dient hiervoor een vervanger te regelen. Voor supervisie dient </w:t>
      </w:r>
      <w:r w:rsidR="001B4491">
        <w:rPr>
          <w:rFonts w:ascii="AZGCaspariT" w:hAnsi="AZGCaspariT"/>
          <w:sz w:val="22"/>
          <w:szCs w:val="22"/>
        </w:rPr>
        <w:t>tijdens de gehele procedure de superviserend hematoloog voor de Hio</w:t>
      </w:r>
      <w:r w:rsidR="00651E85">
        <w:rPr>
          <w:rFonts w:ascii="AZGCaspariT" w:hAnsi="AZGCaspariT"/>
          <w:sz w:val="22"/>
          <w:szCs w:val="22"/>
        </w:rPr>
        <w:t xml:space="preserve">, </w:t>
      </w:r>
      <w:r w:rsidR="001B4491">
        <w:rPr>
          <w:rFonts w:ascii="AZGCaspariT" w:hAnsi="AZGCaspariT"/>
          <w:sz w:val="22"/>
          <w:szCs w:val="22"/>
        </w:rPr>
        <w:t>VS</w:t>
      </w:r>
      <w:r w:rsidR="00651E85">
        <w:rPr>
          <w:rFonts w:ascii="AZGCaspariT" w:hAnsi="AZGCaspariT"/>
          <w:sz w:val="22"/>
          <w:szCs w:val="22"/>
        </w:rPr>
        <w:t xml:space="preserve"> of </w:t>
      </w:r>
      <w:proofErr w:type="spellStart"/>
      <w:r w:rsidR="00651E85">
        <w:rPr>
          <w:rFonts w:ascii="AZGCaspariT" w:hAnsi="AZGCaspariT"/>
          <w:sz w:val="22"/>
          <w:szCs w:val="22"/>
        </w:rPr>
        <w:t>Vios</w:t>
      </w:r>
      <w:proofErr w:type="spellEnd"/>
      <w:r w:rsidR="001B4491">
        <w:rPr>
          <w:rFonts w:ascii="AZGCaspariT" w:hAnsi="AZGCaspariT"/>
          <w:sz w:val="22"/>
          <w:szCs w:val="22"/>
        </w:rPr>
        <w:t xml:space="preserve"> bereikbaar te zijn.</w:t>
      </w:r>
      <w:r w:rsidR="00651E85">
        <w:rPr>
          <w:rFonts w:ascii="AZGCaspariT" w:hAnsi="AZGCaspariT"/>
          <w:sz w:val="22"/>
          <w:szCs w:val="22"/>
        </w:rPr>
        <w:t xml:space="preserve"> Wanneer het een toegangsprobleem is kan de VC zelf contact leggen met een hematoloog die een CVC kan inbrengen die geschikt is voor aferese. </w:t>
      </w:r>
    </w:p>
    <w:p w14:paraId="23CBAFE6" w14:textId="77777777" w:rsidR="00A46528" w:rsidRDefault="00A46528" w:rsidP="00A46528">
      <w:pPr>
        <w:pStyle w:val="Lijstalinea"/>
        <w:ind w:left="360"/>
        <w:rPr>
          <w:rFonts w:ascii="AZGCaspariT" w:hAnsi="AZGCaspariT"/>
          <w:sz w:val="22"/>
          <w:szCs w:val="22"/>
        </w:rPr>
      </w:pPr>
    </w:p>
    <w:p w14:paraId="5827D495" w14:textId="77777777" w:rsidR="00A6564A" w:rsidRPr="00A46528" w:rsidRDefault="00A6564A" w:rsidP="00A46528">
      <w:pPr>
        <w:pStyle w:val="Lijstalinea"/>
        <w:numPr>
          <w:ilvl w:val="0"/>
          <w:numId w:val="3"/>
        </w:numPr>
        <w:rPr>
          <w:rFonts w:ascii="AZGCaspariT" w:hAnsi="AZGCaspariT"/>
          <w:b/>
          <w:sz w:val="22"/>
          <w:szCs w:val="22"/>
        </w:rPr>
      </w:pPr>
      <w:r w:rsidRPr="00A46528">
        <w:rPr>
          <w:rFonts w:ascii="AZGCaspariT" w:hAnsi="AZGCaspariT"/>
          <w:b/>
          <w:sz w:val="22"/>
          <w:szCs w:val="22"/>
        </w:rPr>
        <w:t>Beslissing over vervolgprocedures</w:t>
      </w:r>
    </w:p>
    <w:p w14:paraId="0B1343A8" w14:textId="77777777" w:rsidR="00344DAF" w:rsidRDefault="00A6564A" w:rsidP="00515684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 xml:space="preserve">Indien de nagestreefde hoeveelheid CD34+-cellen met de plaatsgevonden afereseprocedure verzameld werd mag de Hio of VS zelfstandig beslissen om geen vervolgprocedures af te spreken. Indien de nagestreefde hoeveelheid CD34+-cellen niet bereikt werd wordt in overleg met de superviserend hematoloog besloten of een vervolgprocedure moet plaats vinden of dat met het bereikt resultaat genoegen genomen wordt. </w:t>
      </w:r>
    </w:p>
    <w:p w14:paraId="7D172A3E" w14:textId="77777777" w:rsidR="00A46528" w:rsidRPr="00197296" w:rsidRDefault="00A46528" w:rsidP="004E1E31">
      <w:pPr>
        <w:rPr>
          <w:rFonts w:ascii="AZGCaspariT" w:hAnsi="AZGCaspariT"/>
          <w:sz w:val="22"/>
          <w:szCs w:val="22"/>
        </w:rPr>
      </w:pPr>
    </w:p>
    <w:p w14:paraId="7CBC7EC9" w14:textId="77777777" w:rsidR="00272436" w:rsidRPr="00A46528" w:rsidRDefault="004753F9" w:rsidP="00272436">
      <w:pPr>
        <w:pStyle w:val="Normaalweb"/>
        <w:numPr>
          <w:ilvl w:val="0"/>
          <w:numId w:val="3"/>
        </w:numPr>
        <w:spacing w:before="0" w:beforeAutospacing="0" w:after="0" w:afterAutospacing="0" w:line="240" w:lineRule="atLeast"/>
        <w:rPr>
          <w:rFonts w:ascii="AZGCaspariT" w:hAnsi="AZGCaspariT"/>
          <w:b/>
          <w:sz w:val="22"/>
          <w:szCs w:val="22"/>
          <w:lang w:val="nl-NL"/>
        </w:rPr>
      </w:pPr>
      <w:r w:rsidRPr="00A46528">
        <w:rPr>
          <w:rFonts w:ascii="AZGCaspariT" w:hAnsi="AZGCaspariT"/>
          <w:b/>
          <w:sz w:val="22"/>
          <w:szCs w:val="22"/>
          <w:lang w:val="nl-NL"/>
        </w:rPr>
        <w:t>Literatuur</w:t>
      </w:r>
    </w:p>
    <w:p w14:paraId="6658E55F" w14:textId="77777777" w:rsidR="00A351CD" w:rsidRPr="00A351CD" w:rsidRDefault="00A351CD" w:rsidP="003A636E">
      <w:pPr>
        <w:autoSpaceDE w:val="0"/>
        <w:autoSpaceDN w:val="0"/>
        <w:adjustRightInd w:val="0"/>
        <w:ind w:left="360"/>
        <w:rPr>
          <w:rFonts w:ascii="AZGCaspariT" w:hAnsi="AZGCaspariT" w:cs="TradeGothic-BoldCondTwenty"/>
          <w:bCs/>
          <w:sz w:val="22"/>
          <w:szCs w:val="22"/>
          <w:lang w:val="en-US" w:eastAsia="en-US"/>
        </w:rPr>
      </w:pPr>
      <w:r w:rsidRPr="003A7563">
        <w:rPr>
          <w:rFonts w:ascii="AZGCaspariT" w:hAnsi="AZGCaspariT" w:cs="TradeGothic-BoldCondTwenty"/>
          <w:bCs/>
          <w:sz w:val="22"/>
          <w:szCs w:val="22"/>
          <w:lang w:val="en-US" w:eastAsia="en-US"/>
        </w:rPr>
        <w:t xml:space="preserve">Atkinson, K. et al, 2004. </w:t>
      </w:r>
      <w:r w:rsidRPr="003A7563">
        <w:rPr>
          <w:rFonts w:ascii="AZGCaspariT" w:hAnsi="AZGCaspariT" w:cs="TradeGothic-BoldCondTwenty"/>
          <w:bCs/>
          <w:i/>
          <w:sz w:val="22"/>
          <w:szCs w:val="22"/>
          <w:lang w:val="en-US" w:eastAsia="en-US"/>
        </w:rPr>
        <w:t>Clinical Bone Marrow an Blood Stem Cell Transplant</w:t>
      </w:r>
      <w:r>
        <w:rPr>
          <w:rFonts w:ascii="AZGCaspariT" w:hAnsi="AZGCaspariT" w:cs="TradeGothic-BoldCondTwenty"/>
          <w:bCs/>
          <w:i/>
          <w:sz w:val="22"/>
          <w:szCs w:val="22"/>
          <w:lang w:val="en-US" w:eastAsia="en-US"/>
        </w:rPr>
        <w:t xml:space="preserve">ation, third edition. </w:t>
      </w:r>
      <w:r>
        <w:rPr>
          <w:rFonts w:ascii="AZGCaspariT" w:hAnsi="AZGCaspariT" w:cs="TradeGothic-BoldCondTwenty"/>
          <w:bCs/>
          <w:sz w:val="22"/>
          <w:szCs w:val="22"/>
          <w:lang w:val="en-US" w:eastAsia="en-US"/>
        </w:rPr>
        <w:t>Cambridge University Press. P.383-415</w:t>
      </w:r>
    </w:p>
    <w:p w14:paraId="7B644D31" w14:textId="77777777" w:rsidR="00FE3BED" w:rsidRPr="004E2BDE" w:rsidRDefault="00FE3BED" w:rsidP="003A636E">
      <w:pPr>
        <w:autoSpaceDE w:val="0"/>
        <w:autoSpaceDN w:val="0"/>
        <w:adjustRightInd w:val="0"/>
        <w:ind w:left="360"/>
        <w:rPr>
          <w:rFonts w:ascii="AZGCaspariT" w:hAnsi="AZGCaspariT" w:cs="TradeGothic-BoldCondTwenty"/>
          <w:bCs/>
          <w:i/>
          <w:sz w:val="22"/>
          <w:szCs w:val="22"/>
          <w:lang w:eastAsia="en-US"/>
        </w:rPr>
      </w:pPr>
      <w:r w:rsidRPr="00A351CD">
        <w:rPr>
          <w:rFonts w:ascii="AZGCaspariT" w:hAnsi="AZGCaspariT" w:cs="TradeGothic-BoldCondTwenty"/>
          <w:bCs/>
          <w:sz w:val="22"/>
          <w:szCs w:val="22"/>
          <w:lang w:val="en-US" w:eastAsia="en-US"/>
        </w:rPr>
        <w:t>Chen, S.-H. et al, 2013</w:t>
      </w:r>
      <w:r w:rsidR="00A351CD" w:rsidRPr="00A351CD">
        <w:rPr>
          <w:rFonts w:ascii="AZGCaspariT" w:hAnsi="AZGCaspariT" w:cs="TradeGothic-BoldCondTwenty"/>
          <w:bCs/>
          <w:sz w:val="22"/>
          <w:szCs w:val="22"/>
          <w:lang w:val="en-US" w:eastAsia="en-US"/>
        </w:rPr>
        <w:t xml:space="preserve">. </w:t>
      </w:r>
      <w:r w:rsidR="00A351CD">
        <w:rPr>
          <w:rFonts w:ascii="AZGCaspariT" w:hAnsi="AZGCaspariT" w:cs="TradeGothic-BoldCondTwenty"/>
          <w:bCs/>
          <w:i/>
          <w:sz w:val="22"/>
          <w:szCs w:val="22"/>
          <w:lang w:val="en-US" w:eastAsia="en-US"/>
        </w:rPr>
        <w:t xml:space="preserve">Hematopoietic stem cell donation. </w:t>
      </w:r>
      <w:r w:rsidR="00A351CD" w:rsidRPr="004E2BDE">
        <w:rPr>
          <w:rFonts w:ascii="AZGCaspariT" w:hAnsi="AZGCaspariT" w:cs="AdvPTimes"/>
          <w:sz w:val="22"/>
          <w:szCs w:val="22"/>
          <w:lang w:eastAsia="en-US"/>
        </w:rPr>
        <w:t xml:space="preserve">Int J </w:t>
      </w:r>
      <w:proofErr w:type="spellStart"/>
      <w:r w:rsidR="00A351CD" w:rsidRPr="004E2BDE">
        <w:rPr>
          <w:rFonts w:ascii="AZGCaspariT" w:hAnsi="AZGCaspariT" w:cs="AdvPTimes"/>
          <w:sz w:val="22"/>
          <w:szCs w:val="22"/>
          <w:lang w:eastAsia="en-US"/>
        </w:rPr>
        <w:t>Hematol</w:t>
      </w:r>
      <w:proofErr w:type="spellEnd"/>
      <w:r w:rsidR="00A351CD" w:rsidRPr="004E2BDE">
        <w:rPr>
          <w:rFonts w:ascii="AZGCaspariT" w:hAnsi="AZGCaspariT" w:cs="AdvPTimes"/>
          <w:sz w:val="22"/>
          <w:szCs w:val="22"/>
          <w:lang w:eastAsia="en-US"/>
        </w:rPr>
        <w:t xml:space="preserve"> (2013) 97:446–455.</w:t>
      </w:r>
    </w:p>
    <w:p w14:paraId="51F24F47" w14:textId="77777777" w:rsidR="003A636E" w:rsidRPr="004E2BDE" w:rsidRDefault="00FE3BED" w:rsidP="003A636E">
      <w:pPr>
        <w:autoSpaceDE w:val="0"/>
        <w:autoSpaceDN w:val="0"/>
        <w:adjustRightInd w:val="0"/>
        <w:ind w:left="360"/>
        <w:rPr>
          <w:rFonts w:ascii="AZGCaspariT" w:hAnsi="AZGCaspariT" w:cs="Arial"/>
          <w:color w:val="333333"/>
          <w:sz w:val="22"/>
          <w:szCs w:val="22"/>
          <w:lang w:val="en-US"/>
        </w:rPr>
      </w:pPr>
      <w:r w:rsidRPr="00A351CD">
        <w:rPr>
          <w:rFonts w:ascii="AZGCaspariT" w:hAnsi="AZGCaspariT" w:cs="TradeGothic-BoldCondTwenty"/>
          <w:bCs/>
          <w:sz w:val="22"/>
          <w:szCs w:val="22"/>
          <w:lang w:eastAsia="en-US"/>
        </w:rPr>
        <w:t xml:space="preserve">Goldberg, S.L. et al, 2009. </w:t>
      </w:r>
      <w:r w:rsidRPr="00FE3BED">
        <w:rPr>
          <w:rFonts w:ascii="AZGCaspariT" w:hAnsi="AZGCaspariT" w:cs="TradeGothic-BoldCondTwenty"/>
          <w:bCs/>
          <w:i/>
          <w:sz w:val="22"/>
          <w:szCs w:val="22"/>
          <w:lang w:val="en-US" w:eastAsia="en-US"/>
        </w:rPr>
        <w:t xml:space="preserve">Complications of </w:t>
      </w:r>
      <w:proofErr w:type="spellStart"/>
      <w:r w:rsidRPr="00FE3BED">
        <w:rPr>
          <w:rFonts w:ascii="AZGCaspariT" w:hAnsi="AZGCaspariT" w:cs="TradeGothic-BoldCondTwenty"/>
          <w:bCs/>
          <w:i/>
          <w:sz w:val="22"/>
          <w:szCs w:val="22"/>
          <w:lang w:val="en-US" w:eastAsia="en-US"/>
        </w:rPr>
        <w:t>Perpheral</w:t>
      </w:r>
      <w:proofErr w:type="spellEnd"/>
      <w:r w:rsidRPr="00FE3BED">
        <w:rPr>
          <w:rFonts w:ascii="AZGCaspariT" w:hAnsi="AZGCaspariT" w:cs="TradeGothic-BoldCondTwenty"/>
          <w:bCs/>
          <w:i/>
          <w:sz w:val="22"/>
          <w:szCs w:val="22"/>
          <w:lang w:val="en-US" w:eastAsia="en-US"/>
        </w:rPr>
        <w:t xml:space="preserve"> Blood Stem Cell Harvesting: Review of 554 PBSC </w:t>
      </w:r>
      <w:proofErr w:type="spellStart"/>
      <w:r w:rsidRPr="00FE3BED">
        <w:rPr>
          <w:rFonts w:ascii="AZGCaspariT" w:hAnsi="AZGCaspariT" w:cs="TradeGothic-BoldCondTwenty"/>
          <w:bCs/>
          <w:i/>
          <w:sz w:val="22"/>
          <w:szCs w:val="22"/>
          <w:lang w:val="en-US" w:eastAsia="en-US"/>
        </w:rPr>
        <w:t>leukpheresis</w:t>
      </w:r>
      <w:proofErr w:type="spellEnd"/>
      <w:r w:rsidRPr="00FE3BED">
        <w:rPr>
          <w:rFonts w:ascii="AZGCaspariT" w:hAnsi="AZGCaspariT" w:cs="TradeGothic-BoldCondTwenty"/>
          <w:bCs/>
          <w:i/>
          <w:sz w:val="22"/>
          <w:szCs w:val="22"/>
          <w:lang w:val="en-US" w:eastAsia="en-US"/>
        </w:rPr>
        <w:t xml:space="preserve">. </w:t>
      </w:r>
      <w:r w:rsidRPr="00FE3BED">
        <w:rPr>
          <w:rFonts w:ascii="AZGCaspariT" w:hAnsi="AZGCaspariT" w:cs="Arial"/>
          <w:color w:val="333333"/>
          <w:sz w:val="22"/>
          <w:szCs w:val="22"/>
          <w:lang w:val="en-US"/>
        </w:rPr>
        <w:t xml:space="preserve">Journal </w:t>
      </w:r>
      <w:r w:rsidRPr="00A351CD">
        <w:rPr>
          <w:rFonts w:ascii="AZGCaspariT" w:hAnsi="AZGCaspariT" w:cs="Arial"/>
          <w:color w:val="333333"/>
          <w:sz w:val="22"/>
          <w:szCs w:val="22"/>
          <w:lang w:val="en-US"/>
        </w:rPr>
        <w:t xml:space="preserve">of </w:t>
      </w:r>
      <w:proofErr w:type="spellStart"/>
      <w:r w:rsidRPr="004E2BDE">
        <w:rPr>
          <w:rFonts w:ascii="AZGCaspariT" w:hAnsi="AZGCaspariT" w:cs="Arial"/>
          <w:color w:val="333333"/>
          <w:sz w:val="22"/>
          <w:szCs w:val="22"/>
          <w:lang w:val="en-US"/>
        </w:rPr>
        <w:t>Hematotherapy</w:t>
      </w:r>
      <w:proofErr w:type="spellEnd"/>
      <w:r w:rsidRPr="004E2BDE">
        <w:rPr>
          <w:rFonts w:ascii="AZGCaspariT" w:hAnsi="AZGCaspariT" w:cs="Arial"/>
          <w:color w:val="333333"/>
          <w:sz w:val="22"/>
          <w:szCs w:val="22"/>
          <w:lang w:val="en-US"/>
        </w:rPr>
        <w:t>. March 2009, 4(2): 85-90.</w:t>
      </w:r>
    </w:p>
    <w:p w14:paraId="57D84802" w14:textId="77777777" w:rsidR="00FE3BED" w:rsidRPr="00A46528" w:rsidRDefault="00344DAF" w:rsidP="003A636E">
      <w:pPr>
        <w:autoSpaceDE w:val="0"/>
        <w:autoSpaceDN w:val="0"/>
        <w:adjustRightInd w:val="0"/>
        <w:ind w:left="360"/>
        <w:rPr>
          <w:rFonts w:ascii="AZGCaspariT" w:hAnsi="AZGCaspariT" w:cs="AdvPSA334"/>
          <w:sz w:val="22"/>
          <w:szCs w:val="22"/>
          <w:lang w:val="en-US" w:eastAsia="en-US"/>
        </w:rPr>
      </w:pPr>
      <w:r>
        <w:rPr>
          <w:rFonts w:ascii="AZGCaspariT" w:hAnsi="AZGCaspariT" w:cs="TradeGothic-BoldCondTwenty"/>
          <w:bCs/>
          <w:sz w:val="22"/>
          <w:szCs w:val="22"/>
          <w:lang w:val="en-US" w:eastAsia="en-US"/>
        </w:rPr>
        <w:t xml:space="preserve">Yen-Michel, S. and Cushing, M.M., 2016. </w:t>
      </w:r>
      <w:r>
        <w:rPr>
          <w:rFonts w:ascii="AZGCaspariT" w:hAnsi="AZGCaspariT" w:cs="TradeGothic-BoldCondTwenty"/>
          <w:bCs/>
          <w:i/>
          <w:sz w:val="22"/>
          <w:szCs w:val="22"/>
          <w:lang w:val="en-US" w:eastAsia="en-US"/>
        </w:rPr>
        <w:t>Autologou</w:t>
      </w:r>
      <w:r w:rsidR="00AA57B5">
        <w:rPr>
          <w:rFonts w:ascii="AZGCaspariT" w:hAnsi="AZGCaspariT" w:cs="TradeGothic-BoldCondTwenty"/>
          <w:bCs/>
          <w:i/>
          <w:sz w:val="22"/>
          <w:szCs w:val="22"/>
          <w:lang w:val="en-US" w:eastAsia="en-US"/>
        </w:rPr>
        <w:t>s</w:t>
      </w:r>
      <w:r>
        <w:rPr>
          <w:rFonts w:ascii="AZGCaspariT" w:hAnsi="AZGCaspariT" w:cs="TradeGothic-BoldCondTwenty"/>
          <w:bCs/>
          <w:i/>
          <w:sz w:val="22"/>
          <w:szCs w:val="22"/>
          <w:lang w:val="en-US" w:eastAsia="en-US"/>
        </w:rPr>
        <w:t xml:space="preserve"> Stem Cell Mobilization and Collection. </w:t>
      </w:r>
      <w:proofErr w:type="spellStart"/>
      <w:r w:rsidRPr="00A46528">
        <w:rPr>
          <w:rFonts w:ascii="AZGCaspariT" w:hAnsi="AZGCaspariT" w:cs="AdvPSA334"/>
          <w:sz w:val="22"/>
          <w:szCs w:val="22"/>
          <w:lang w:val="en-US" w:eastAsia="en-US"/>
        </w:rPr>
        <w:t>Hematol</w:t>
      </w:r>
      <w:proofErr w:type="spellEnd"/>
      <w:r w:rsidRPr="00A46528">
        <w:rPr>
          <w:rFonts w:ascii="AZGCaspariT" w:hAnsi="AZGCaspariT" w:cs="AdvPSA334"/>
          <w:sz w:val="22"/>
          <w:szCs w:val="22"/>
          <w:lang w:val="en-US" w:eastAsia="en-US"/>
        </w:rPr>
        <w:t xml:space="preserve"> Oncol Clin N Am 30 (2016) 573–589.</w:t>
      </w:r>
    </w:p>
    <w:p w14:paraId="1F4F602D" w14:textId="77777777" w:rsidR="00344DAF" w:rsidRPr="00344DAF" w:rsidRDefault="00344DAF" w:rsidP="003A636E">
      <w:pPr>
        <w:autoSpaceDE w:val="0"/>
        <w:autoSpaceDN w:val="0"/>
        <w:adjustRightInd w:val="0"/>
        <w:ind w:left="360"/>
        <w:rPr>
          <w:rFonts w:ascii="AZGCaspariT" w:hAnsi="AZGCaspariT" w:cs="TradeGothic-BoldCondTwenty"/>
          <w:bCs/>
          <w:sz w:val="22"/>
          <w:szCs w:val="22"/>
          <w:lang w:val="en-US" w:eastAsia="en-US"/>
        </w:rPr>
      </w:pPr>
    </w:p>
    <w:p w14:paraId="432963F5" w14:textId="77777777" w:rsidR="004753F9" w:rsidRPr="00197296" w:rsidRDefault="004753F9" w:rsidP="00367D86">
      <w:pPr>
        <w:numPr>
          <w:ilvl w:val="0"/>
          <w:numId w:val="3"/>
        </w:numPr>
        <w:rPr>
          <w:rFonts w:ascii="AZGCaspariT" w:hAnsi="AZGCaspariT"/>
          <w:b/>
          <w:sz w:val="22"/>
          <w:szCs w:val="22"/>
        </w:rPr>
      </w:pPr>
      <w:r w:rsidRPr="00197296">
        <w:rPr>
          <w:rFonts w:ascii="AZGCaspariT" w:hAnsi="AZGCaspariT"/>
          <w:b/>
          <w:sz w:val="22"/>
          <w:szCs w:val="22"/>
        </w:rPr>
        <w:t>Bijlagen</w:t>
      </w:r>
    </w:p>
    <w:p w14:paraId="25EC7E07" w14:textId="2F379CF5" w:rsidR="004753F9" w:rsidRDefault="004E1E31" w:rsidP="003C04FF">
      <w:pPr>
        <w:ind w:left="360"/>
        <w:rPr>
          <w:rFonts w:ascii="AZGCaspariT" w:hAnsi="AZGCaspariT"/>
          <w:sz w:val="22"/>
          <w:szCs w:val="22"/>
        </w:rPr>
      </w:pPr>
      <w:proofErr w:type="spellStart"/>
      <w:r w:rsidRPr="00515684">
        <w:rPr>
          <w:rFonts w:ascii="AZGCaspariT" w:hAnsi="AZGCaspariT"/>
          <w:sz w:val="22"/>
          <w:szCs w:val="22"/>
        </w:rPr>
        <w:t>Cheklist</w:t>
      </w:r>
      <w:proofErr w:type="spellEnd"/>
      <w:r w:rsidR="00834832" w:rsidRPr="00515684">
        <w:rPr>
          <w:rFonts w:ascii="AZGCaspariT" w:hAnsi="AZGCaspariT"/>
          <w:sz w:val="22"/>
          <w:szCs w:val="22"/>
        </w:rPr>
        <w:t xml:space="preserve"> voor start aferese </w:t>
      </w:r>
      <w:r w:rsidRPr="00515684">
        <w:rPr>
          <w:rFonts w:ascii="AZGCaspariT" w:hAnsi="AZGCaspariT"/>
          <w:sz w:val="22"/>
          <w:szCs w:val="22"/>
        </w:rPr>
        <w:t>.</w:t>
      </w:r>
    </w:p>
    <w:p w14:paraId="038D20AD" w14:textId="582B2CC4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0B614395" w14:textId="2D6A5F95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64E1904C" w14:textId="3C69A427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3BCB3F44" w14:textId="7F46D809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5BDAC448" w14:textId="72A8F776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572A6CFE" w14:textId="11A42152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609F007B" w14:textId="4EE269A4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5EFB9530" w14:textId="74973FC1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6975CFD7" w14:textId="67B34757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63C4C572" w14:textId="0ED79563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7F8AAAD0" w14:textId="05C7E214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6038DE20" w14:textId="00AE48B2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39278AB0" w14:textId="3D005A5B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519720E3" w14:textId="2DD57769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7152D3E7" w14:textId="1198402E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18E2D08C" w14:textId="5067484D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254D89B7" w14:textId="2AA8FFDB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306C4E40" w14:textId="4602B0FC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704C952D" w14:textId="4503D330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3EC9AB62" w14:textId="59C0AB5D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4F7AE3AE" w14:textId="387D5C55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3C4C05B7" w14:textId="4B841958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25CD12F9" w14:textId="475D914E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6B9C35AD" w14:textId="62C40D9B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164AD28C" w14:textId="4F7BF32A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612C75D6" w14:textId="01B17BF2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10ECA74B" w14:textId="61DA9A73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58FA0A13" w14:textId="2C67B1FA" w:rsidR="00121B37" w:rsidRPr="00121B37" w:rsidRDefault="00121B37" w:rsidP="00121B37">
      <w:pPr>
        <w:ind w:left="360"/>
        <w:rPr>
          <w:rFonts w:ascii="AZGCaspariT" w:hAnsi="AZGCaspariT"/>
          <w:b/>
          <w:bCs/>
          <w:sz w:val="22"/>
          <w:szCs w:val="22"/>
        </w:rPr>
      </w:pPr>
      <w:r>
        <w:rPr>
          <w:rFonts w:ascii="AZGCaspariT" w:hAnsi="AZGCaspariT"/>
          <w:b/>
          <w:bCs/>
          <w:sz w:val="22"/>
          <w:szCs w:val="22"/>
        </w:rPr>
        <w:t xml:space="preserve">Bijlage: </w:t>
      </w:r>
      <w:r w:rsidRPr="00121B37">
        <w:rPr>
          <w:rFonts w:ascii="AZGCaspariT" w:hAnsi="AZGCaspariT"/>
          <w:b/>
          <w:bCs/>
          <w:sz w:val="22"/>
          <w:szCs w:val="22"/>
        </w:rPr>
        <w:t>Checklist voor start aferese</w:t>
      </w:r>
    </w:p>
    <w:p w14:paraId="0B615B30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</w:p>
    <w:p w14:paraId="30F40393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Indien aferese plaats kan vinden (zie SOP donorkeuring voor start aferese)</w:t>
      </w:r>
    </w:p>
    <w:p w14:paraId="1C39EEA7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controleer:</w:t>
      </w:r>
    </w:p>
    <w:p w14:paraId="758544BF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Keuringsbrief inclusief  geldige virusserologie aanwezig is;</w:t>
      </w:r>
    </w:p>
    <w:p w14:paraId="14AB498D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Gewicht;</w:t>
      </w:r>
    </w:p>
    <w:p w14:paraId="0A316AEF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Vitale functies RR, P, T;</w:t>
      </w:r>
    </w:p>
    <w:p w14:paraId="24E01BF5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Veneuze toegang;</w:t>
      </w:r>
    </w:p>
    <w:p w14:paraId="449D4445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Beleid eventuele antistolling;</w:t>
      </w:r>
    </w:p>
    <w:p w14:paraId="6050E2BB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Uitslagen van  elektrolyten;</w:t>
      </w:r>
    </w:p>
    <w:p w14:paraId="1A170DB5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Extra toevoegen van:</w:t>
      </w:r>
    </w:p>
    <w:p w14:paraId="01759034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 xml:space="preserve">Magnesium bij waarden 0.5- 0.7 1 ampul (3,05 </w:t>
      </w:r>
      <w:proofErr w:type="spellStart"/>
      <w:r w:rsidRPr="00121B37">
        <w:rPr>
          <w:rFonts w:ascii="AZGCaspariT" w:hAnsi="AZGCaspariT"/>
          <w:sz w:val="22"/>
          <w:szCs w:val="22"/>
        </w:rPr>
        <w:t>mmol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) in 500 </w:t>
      </w:r>
      <w:proofErr w:type="spellStart"/>
      <w:r w:rsidRPr="00121B37">
        <w:rPr>
          <w:rFonts w:ascii="AZGCaspariT" w:hAnsi="AZGCaspariT"/>
          <w:sz w:val="22"/>
          <w:szCs w:val="22"/>
        </w:rPr>
        <w:t>nacl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 0,9 % en &lt;0,5 3 ampullen (9,15 </w:t>
      </w:r>
      <w:proofErr w:type="spellStart"/>
      <w:r w:rsidRPr="00121B37">
        <w:rPr>
          <w:rFonts w:ascii="AZGCaspariT" w:hAnsi="AZGCaspariT"/>
          <w:sz w:val="22"/>
          <w:szCs w:val="22"/>
        </w:rPr>
        <w:t>mmol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) in 500 </w:t>
      </w:r>
      <w:proofErr w:type="spellStart"/>
      <w:r w:rsidRPr="00121B37">
        <w:rPr>
          <w:rFonts w:ascii="AZGCaspariT" w:hAnsi="AZGCaspariT"/>
          <w:sz w:val="22"/>
          <w:szCs w:val="22"/>
        </w:rPr>
        <w:t>nacl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 0,9%. </w:t>
      </w:r>
    </w:p>
    <w:p w14:paraId="1629DE41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 xml:space="preserve">Kalium bij waarden: 2.5 -3.2 20 </w:t>
      </w:r>
      <w:proofErr w:type="spellStart"/>
      <w:r w:rsidRPr="00121B37">
        <w:rPr>
          <w:rFonts w:ascii="AZGCaspariT" w:hAnsi="AZGCaspariT"/>
          <w:sz w:val="22"/>
          <w:szCs w:val="22"/>
        </w:rPr>
        <w:t>mmol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 KCL in 500 </w:t>
      </w:r>
      <w:proofErr w:type="spellStart"/>
      <w:r w:rsidRPr="00121B37">
        <w:rPr>
          <w:rFonts w:ascii="AZGCaspariT" w:hAnsi="AZGCaspariT"/>
          <w:sz w:val="22"/>
          <w:szCs w:val="22"/>
        </w:rPr>
        <w:t>nacl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 0,9% ≤2,5 ECG, daarna overleg met supervisor of procedure wel kan starten en de hoeveelheid kalium. </w:t>
      </w:r>
    </w:p>
    <w:p w14:paraId="5F402267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Bloed waarden;</w:t>
      </w:r>
    </w:p>
    <w:p w14:paraId="3A74B700" w14:textId="14A5D1AB" w:rsidR="00121B37" w:rsidRPr="00121B37" w:rsidRDefault="006121AF" w:rsidP="00121B37">
      <w:pPr>
        <w:ind w:left="360"/>
        <w:rPr>
          <w:rFonts w:ascii="AZGCaspariT" w:hAnsi="AZGCaspariT"/>
          <w:sz w:val="22"/>
          <w:szCs w:val="22"/>
        </w:rPr>
      </w:pPr>
      <w:r>
        <w:rPr>
          <w:rFonts w:ascii="AZGCaspariT" w:hAnsi="AZGCaspariT"/>
          <w:sz w:val="22"/>
          <w:szCs w:val="22"/>
        </w:rPr>
        <w:t>RBC</w:t>
      </w:r>
      <w:r w:rsidR="00121B37" w:rsidRPr="00121B37">
        <w:rPr>
          <w:rFonts w:ascii="AZGCaspariT" w:hAnsi="AZGCaspariT"/>
          <w:sz w:val="22"/>
          <w:szCs w:val="22"/>
        </w:rPr>
        <w:t xml:space="preserve"> bij HB vooraf ≤ 4.5  en anemische klachten</w:t>
      </w:r>
    </w:p>
    <w:p w14:paraId="2A9D5A9C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Trombocyten &lt; 30 of &lt; 50 indien lieslijn.</w:t>
      </w:r>
    </w:p>
    <w:p w14:paraId="71A9E3D1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</w:p>
    <w:p w14:paraId="1D95BE44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Uitvragen van klachten:</w:t>
      </w:r>
    </w:p>
    <w:p w14:paraId="14B0FB91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o</w:t>
      </w:r>
      <w:r w:rsidRPr="00121B37">
        <w:rPr>
          <w:rFonts w:ascii="AZGCaspariT" w:hAnsi="AZGCaspariT"/>
          <w:sz w:val="22"/>
          <w:szCs w:val="22"/>
        </w:rPr>
        <w:tab/>
        <w:t>Infectieus;</w:t>
      </w:r>
    </w:p>
    <w:p w14:paraId="64AF9A61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o</w:t>
      </w:r>
      <w:r w:rsidRPr="00121B37">
        <w:rPr>
          <w:rFonts w:ascii="AZGCaspariT" w:hAnsi="AZGCaspariT"/>
          <w:sz w:val="22"/>
          <w:szCs w:val="22"/>
        </w:rPr>
        <w:tab/>
        <w:t xml:space="preserve">Intake (indien vochtintake &lt; 1,5 </w:t>
      </w:r>
      <w:proofErr w:type="spellStart"/>
      <w:r w:rsidRPr="00121B37">
        <w:rPr>
          <w:rFonts w:ascii="AZGCaspariT" w:hAnsi="AZGCaspariT"/>
          <w:sz w:val="22"/>
          <w:szCs w:val="22"/>
        </w:rPr>
        <w:t>ltr</w:t>
      </w:r>
      <w:proofErr w:type="spellEnd"/>
      <w:r w:rsidRPr="00121B37">
        <w:rPr>
          <w:rFonts w:ascii="AZGCaspariT" w:hAnsi="AZGCaspariT"/>
          <w:sz w:val="22"/>
          <w:szCs w:val="22"/>
        </w:rPr>
        <w:t>/ 24 uur dan overleg supervisor, anders start aferese) ;</w:t>
      </w:r>
    </w:p>
    <w:p w14:paraId="3FC257A0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o</w:t>
      </w:r>
      <w:r w:rsidRPr="00121B37">
        <w:rPr>
          <w:rFonts w:ascii="AZGCaspariT" w:hAnsi="AZGCaspariT"/>
          <w:sz w:val="22"/>
          <w:szCs w:val="22"/>
        </w:rPr>
        <w:tab/>
        <w:t>Pijn (</w:t>
      </w:r>
      <w:proofErr w:type="spellStart"/>
      <w:r w:rsidRPr="00121B37">
        <w:rPr>
          <w:rFonts w:ascii="AZGCaspariT" w:hAnsi="AZGCaspariT"/>
          <w:sz w:val="22"/>
          <w:szCs w:val="22"/>
        </w:rPr>
        <w:t>botpijn</w:t>
      </w:r>
      <w:proofErr w:type="spellEnd"/>
      <w:r w:rsidRPr="00121B37">
        <w:rPr>
          <w:rFonts w:ascii="AZGCaspariT" w:hAnsi="AZGCaspariT"/>
          <w:sz w:val="22"/>
          <w:szCs w:val="22"/>
        </w:rPr>
        <w:t>: akkoord start aferese, anders: overleg supervisor);</w:t>
      </w:r>
    </w:p>
    <w:p w14:paraId="1DA86D8B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 xml:space="preserve"> Bij start uitleg geven over:</w:t>
      </w:r>
    </w:p>
    <w:p w14:paraId="617F2DDC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Doorgaan van de procedure;</w:t>
      </w:r>
    </w:p>
    <w:p w14:paraId="670F2BE2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Duur/ lengte van de procedure;</w:t>
      </w:r>
    </w:p>
    <w:p w14:paraId="4C136A92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 xml:space="preserve">Belangrijkste bijwerkingen (vermoeidheid, elektrolyt stoornissen; </w:t>
      </w:r>
    </w:p>
    <w:p w14:paraId="1FEC4B57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</w:r>
      <w:proofErr w:type="spellStart"/>
      <w:r w:rsidRPr="00121B37">
        <w:rPr>
          <w:rFonts w:ascii="AZGCaspariT" w:hAnsi="AZGCaspariT"/>
          <w:sz w:val="22"/>
          <w:szCs w:val="22"/>
        </w:rPr>
        <w:t>Citraat</w:t>
      </w:r>
      <w:proofErr w:type="spellEnd"/>
      <w:r w:rsidRPr="00121B37">
        <w:rPr>
          <w:rFonts w:ascii="AZGCaspariT" w:hAnsi="AZGCaspariT"/>
          <w:sz w:val="22"/>
          <w:szCs w:val="22"/>
        </w:rPr>
        <w:t xml:space="preserve"> en bijwerkingen;</w:t>
      </w:r>
    </w:p>
    <w:p w14:paraId="47131C73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Intake;</w:t>
      </w:r>
    </w:p>
    <w:p w14:paraId="43374B6F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Uitscheiding (niet naar het toilet tijdens de procedure).</w:t>
      </w:r>
    </w:p>
    <w:p w14:paraId="3B55AB21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</w:p>
    <w:p w14:paraId="6092E79B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Indien geen aferese:</w:t>
      </w:r>
    </w:p>
    <w:p w14:paraId="7ECBFE3F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Uitleggeven over vervolg;</w:t>
      </w:r>
    </w:p>
    <w:p w14:paraId="72E5A807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>Eventueel antistollingsbeleid aanpassen;</w:t>
      </w:r>
    </w:p>
    <w:p w14:paraId="6F6BF92B" w14:textId="77777777" w:rsidR="00121B37" w:rsidRP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 xml:space="preserve">Controleren hoeveelheid </w:t>
      </w:r>
      <w:proofErr w:type="spellStart"/>
      <w:r w:rsidRPr="00121B37">
        <w:rPr>
          <w:rFonts w:ascii="AZGCaspariT" w:hAnsi="AZGCaspariT"/>
          <w:sz w:val="22"/>
          <w:szCs w:val="22"/>
        </w:rPr>
        <w:t>neupogen</w:t>
      </w:r>
      <w:proofErr w:type="spellEnd"/>
      <w:r w:rsidRPr="00121B37">
        <w:rPr>
          <w:rFonts w:ascii="AZGCaspariT" w:hAnsi="AZGCaspariT"/>
          <w:sz w:val="22"/>
          <w:szCs w:val="22"/>
        </w:rPr>
        <w:t>;</w:t>
      </w:r>
    </w:p>
    <w:p w14:paraId="1A641315" w14:textId="1C42E4BA" w:rsidR="00121B37" w:rsidRDefault="00121B37" w:rsidP="00121B37">
      <w:pPr>
        <w:ind w:left="360"/>
        <w:rPr>
          <w:rFonts w:ascii="AZGCaspariT" w:hAnsi="AZGCaspariT"/>
          <w:sz w:val="22"/>
          <w:szCs w:val="22"/>
        </w:rPr>
      </w:pPr>
      <w:r w:rsidRPr="00121B37">
        <w:rPr>
          <w:rFonts w:ascii="AZGCaspariT" w:hAnsi="AZGCaspariT"/>
          <w:sz w:val="22"/>
          <w:szCs w:val="22"/>
        </w:rPr>
        <w:t>•</w:t>
      </w:r>
      <w:r w:rsidRPr="00121B37">
        <w:rPr>
          <w:rFonts w:ascii="AZGCaspariT" w:hAnsi="AZGCaspariT"/>
          <w:sz w:val="22"/>
          <w:szCs w:val="22"/>
        </w:rPr>
        <w:tab/>
        <w:t xml:space="preserve">Eventueel starten van </w:t>
      </w:r>
      <w:proofErr w:type="spellStart"/>
      <w:r w:rsidRPr="00121B37">
        <w:rPr>
          <w:rFonts w:ascii="AZGCaspariT" w:hAnsi="AZGCaspariT"/>
          <w:sz w:val="22"/>
          <w:szCs w:val="22"/>
        </w:rPr>
        <w:t>plerixafor</w:t>
      </w:r>
      <w:proofErr w:type="spellEnd"/>
      <w:r w:rsidRPr="00121B37">
        <w:rPr>
          <w:rFonts w:ascii="AZGCaspariT" w:hAnsi="AZGCaspariT"/>
          <w:sz w:val="22"/>
          <w:szCs w:val="22"/>
        </w:rPr>
        <w:t>.</w:t>
      </w:r>
    </w:p>
    <w:p w14:paraId="14F57734" w14:textId="27EAC0B6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73EFD025" w14:textId="521106F6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7244FE61" w14:textId="5BDFC879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331A9FE7" w14:textId="1F752182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6B9341BB" w14:textId="0B4D840B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37CF5D0F" w14:textId="2931D1BB" w:rsidR="00121B37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p w14:paraId="7747BF22" w14:textId="77777777" w:rsidR="00121B37" w:rsidRPr="00197296" w:rsidRDefault="00121B37" w:rsidP="003C04FF">
      <w:pPr>
        <w:ind w:left="360"/>
        <w:rPr>
          <w:rFonts w:ascii="AZGCaspariT" w:hAnsi="AZGCaspariT"/>
          <w:sz w:val="22"/>
          <w:szCs w:val="22"/>
        </w:rPr>
      </w:pPr>
    </w:p>
    <w:sectPr w:rsidR="00121B37" w:rsidRPr="00197296" w:rsidSect="005156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417" w:bottom="709" w:left="1417" w:header="708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BED82" w14:textId="77777777" w:rsidR="00F73D5B" w:rsidRDefault="00F73D5B">
      <w:r>
        <w:separator/>
      </w:r>
    </w:p>
  </w:endnote>
  <w:endnote w:type="continuationSeparator" w:id="0">
    <w:p w14:paraId="35F6DEC5" w14:textId="77777777" w:rsidR="00F73D5B" w:rsidRDefault="00F7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inheri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adeGothic-BoldCondTwent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SA33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35EB2" w14:textId="77777777" w:rsidR="00FE3BED" w:rsidRDefault="00FE3BED" w:rsidP="00463F5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4248ADC" w14:textId="77777777" w:rsidR="00FE3BED" w:rsidRDefault="00FE3BED" w:rsidP="00577285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A8253" w14:textId="77777777" w:rsidR="00515684" w:rsidRDefault="00515684" w:rsidP="00D10894">
    <w:pPr>
      <w:pStyle w:val="Voettekst"/>
      <w:framePr w:wrap="around" w:vAnchor="text" w:hAnchor="page" w:x="10761" w:y="54"/>
      <w:rPr>
        <w:rStyle w:val="Paginanummer"/>
        <w:rFonts w:ascii="AZGCaspariT" w:hAnsi="AZGCaspariT"/>
        <w:sz w:val="16"/>
        <w:szCs w:val="16"/>
      </w:rPr>
    </w:pPr>
  </w:p>
  <w:p w14:paraId="332696F3" w14:textId="77777777" w:rsidR="00515684" w:rsidRDefault="00515684" w:rsidP="00D10894">
    <w:pPr>
      <w:pStyle w:val="Voettekst"/>
      <w:framePr w:wrap="around" w:vAnchor="text" w:hAnchor="page" w:x="10761" w:y="54"/>
      <w:rPr>
        <w:rStyle w:val="Paginanummer"/>
        <w:rFonts w:ascii="AZGCaspariT" w:hAnsi="AZGCaspariT"/>
        <w:sz w:val="16"/>
        <w:szCs w:val="16"/>
      </w:rPr>
    </w:pPr>
  </w:p>
  <w:p w14:paraId="6A79B839" w14:textId="77777777" w:rsidR="00515684" w:rsidRDefault="00515684" w:rsidP="00D10894">
    <w:pPr>
      <w:pStyle w:val="Voettekst"/>
      <w:framePr w:wrap="around" w:vAnchor="text" w:hAnchor="page" w:x="10761" w:y="54"/>
      <w:rPr>
        <w:rStyle w:val="Paginanummer"/>
        <w:rFonts w:ascii="AZGCaspariT" w:hAnsi="AZGCaspariT"/>
        <w:sz w:val="16"/>
        <w:szCs w:val="16"/>
      </w:rPr>
    </w:pPr>
  </w:p>
  <w:p w14:paraId="5A9D5BA4" w14:textId="77777777" w:rsidR="00FE3BED" w:rsidRPr="006E3F9B" w:rsidRDefault="00FE3BED" w:rsidP="00D10894">
    <w:pPr>
      <w:pStyle w:val="Voettekst"/>
      <w:framePr w:wrap="around" w:vAnchor="text" w:hAnchor="page" w:x="10761" w:y="54"/>
      <w:rPr>
        <w:rStyle w:val="Paginanummer"/>
        <w:rFonts w:ascii="AZGCaspariT" w:hAnsi="AZGCaspariT"/>
        <w:sz w:val="16"/>
        <w:szCs w:val="16"/>
      </w:rPr>
    </w:pPr>
    <w:r w:rsidRPr="006E3F9B">
      <w:rPr>
        <w:rStyle w:val="Paginanummer"/>
        <w:rFonts w:ascii="AZGCaspariT" w:hAnsi="AZGCaspariT"/>
        <w:sz w:val="16"/>
        <w:szCs w:val="16"/>
      </w:rPr>
      <w:fldChar w:fldCharType="begin"/>
    </w:r>
    <w:r w:rsidRPr="006E3F9B">
      <w:rPr>
        <w:rStyle w:val="Paginanummer"/>
        <w:rFonts w:ascii="AZGCaspariT" w:hAnsi="AZGCaspariT"/>
        <w:sz w:val="16"/>
        <w:szCs w:val="16"/>
      </w:rPr>
      <w:instrText xml:space="preserve">PAGE  </w:instrText>
    </w:r>
    <w:r w:rsidRPr="006E3F9B">
      <w:rPr>
        <w:rStyle w:val="Paginanummer"/>
        <w:rFonts w:ascii="AZGCaspariT" w:hAnsi="AZGCaspariT"/>
        <w:sz w:val="16"/>
        <w:szCs w:val="16"/>
      </w:rPr>
      <w:fldChar w:fldCharType="separate"/>
    </w:r>
    <w:r w:rsidR="00290B3D">
      <w:rPr>
        <w:rStyle w:val="Paginanummer"/>
        <w:rFonts w:ascii="AZGCaspariT" w:hAnsi="AZGCaspariT"/>
        <w:noProof/>
        <w:sz w:val="16"/>
        <w:szCs w:val="16"/>
      </w:rPr>
      <w:t>3</w:t>
    </w:r>
    <w:r w:rsidRPr="006E3F9B">
      <w:rPr>
        <w:rStyle w:val="Paginanummer"/>
        <w:rFonts w:ascii="AZGCaspariT" w:hAnsi="AZGCaspariT"/>
        <w:sz w:val="16"/>
        <w:szCs w:val="16"/>
      </w:rPr>
      <w:fldChar w:fldCharType="end"/>
    </w:r>
  </w:p>
  <w:p w14:paraId="61D182DC" w14:textId="77777777" w:rsidR="00515684" w:rsidRDefault="00515684" w:rsidP="006E3F9B">
    <w:pPr>
      <w:pStyle w:val="Voettekst"/>
      <w:ind w:left="-851" w:right="360"/>
      <w:jc w:val="both"/>
      <w:rPr>
        <w:rFonts w:ascii="AZGCaspariT" w:hAnsi="AZGCaspariT"/>
        <w:sz w:val="16"/>
        <w:szCs w:val="16"/>
      </w:rPr>
    </w:pPr>
  </w:p>
  <w:p w14:paraId="3D961B6C" w14:textId="77777777" w:rsidR="00515684" w:rsidRDefault="00515684" w:rsidP="006E3F9B">
    <w:pPr>
      <w:pStyle w:val="Voettekst"/>
      <w:ind w:left="-851" w:right="360"/>
      <w:jc w:val="both"/>
      <w:rPr>
        <w:rFonts w:ascii="AZGCaspariT" w:hAnsi="AZGCaspariT"/>
        <w:sz w:val="16"/>
        <w:szCs w:val="16"/>
      </w:rPr>
    </w:pPr>
  </w:p>
  <w:p w14:paraId="42A6CE7C" w14:textId="77777777" w:rsidR="00FE3BED" w:rsidRDefault="00FE3BED" w:rsidP="006E3F9B">
    <w:pPr>
      <w:pStyle w:val="Voettekst"/>
      <w:ind w:left="-851" w:right="360"/>
      <w:jc w:val="both"/>
      <w:rPr>
        <w:rFonts w:ascii="AZGCaspariT" w:hAnsi="AZGCaspariT"/>
        <w:sz w:val="16"/>
        <w:szCs w:val="16"/>
      </w:rPr>
    </w:pPr>
    <w:r>
      <w:rPr>
        <w:rFonts w:ascii="AZGCaspariT" w:hAnsi="AZGCaspariT"/>
        <w:sz w:val="16"/>
        <w:szCs w:val="16"/>
      </w:rPr>
      <w:t>Donorkeuring voor start stamcelafer</w:t>
    </w:r>
    <w:r w:rsidR="00067875">
      <w:rPr>
        <w:rFonts w:ascii="AZGCaspariT" w:hAnsi="AZGCaspariT"/>
        <w:sz w:val="16"/>
        <w:szCs w:val="16"/>
      </w:rPr>
      <w:t>e</w:t>
    </w:r>
    <w:r>
      <w:rPr>
        <w:rFonts w:ascii="AZGCaspariT" w:hAnsi="AZGCaspariT"/>
        <w:sz w:val="16"/>
        <w:szCs w:val="16"/>
      </w:rPr>
      <w:t>se</w:t>
    </w:r>
  </w:p>
  <w:p w14:paraId="144C3322" w14:textId="793AA0E6" w:rsidR="00FE3BED" w:rsidRPr="006E3F9B" w:rsidRDefault="004E2BDE" w:rsidP="00395E1B">
    <w:pPr>
      <w:pStyle w:val="Voettekst"/>
      <w:ind w:left="-851" w:right="360"/>
      <w:jc w:val="both"/>
      <w:rPr>
        <w:rFonts w:ascii="AZGCaspariT" w:hAnsi="AZGCaspariT"/>
        <w:sz w:val="16"/>
        <w:szCs w:val="16"/>
      </w:rPr>
    </w:pPr>
    <w:r>
      <w:rPr>
        <w:rFonts w:ascii="AZGCaspariT" w:hAnsi="AZGCaspariT"/>
        <w:sz w:val="16"/>
        <w:szCs w:val="16"/>
      </w:rPr>
      <w:t xml:space="preserve">Versie </w:t>
    </w:r>
    <w:r w:rsidR="00445804">
      <w:rPr>
        <w:rFonts w:ascii="AZGCaspariT" w:hAnsi="AZGCaspariT"/>
        <w:sz w:val="16"/>
        <w:szCs w:val="16"/>
      </w:rPr>
      <w:t>2</w:t>
    </w:r>
    <w:r w:rsidR="00133F44">
      <w:rPr>
        <w:rFonts w:ascii="AZGCaspariT" w:hAnsi="AZGCaspariT"/>
        <w:sz w:val="16"/>
        <w:szCs w:val="16"/>
      </w:rPr>
      <w:t xml:space="preserve">.0 </w:t>
    </w:r>
    <w:r w:rsidR="00445804">
      <w:rPr>
        <w:rFonts w:ascii="AZGCaspariT" w:hAnsi="AZGCaspariT"/>
        <w:sz w:val="16"/>
        <w:szCs w:val="16"/>
      </w:rPr>
      <w:t>28-09-2021</w:t>
    </w:r>
    <w:r w:rsidR="00486D19">
      <w:rPr>
        <w:rFonts w:ascii="AZGCaspariT" w:hAnsi="AZGCaspariT"/>
        <w:sz w:val="16"/>
        <w:szCs w:val="16"/>
      </w:rPr>
      <w:t xml:space="preserve"> </w:t>
    </w:r>
    <w:r w:rsidR="00FE3BED">
      <w:rPr>
        <w:rFonts w:ascii="AZGCaspariT" w:hAnsi="AZGCaspariT"/>
        <w:sz w:val="16"/>
        <w:szCs w:val="16"/>
      </w:rPr>
      <w:t xml:space="preserve">M.R. </w:t>
    </w:r>
    <w:r w:rsidR="00445804">
      <w:rPr>
        <w:rFonts w:ascii="AZGCaspariT" w:hAnsi="AZGCaspariT"/>
        <w:sz w:val="16"/>
        <w:szCs w:val="16"/>
      </w:rPr>
      <w:t>Schipperus</w:t>
    </w:r>
    <w:r w:rsidR="00FE3BED">
      <w:rPr>
        <w:rFonts w:ascii="AZGCaspariT" w:hAnsi="AZGCaspariT"/>
        <w:sz w:val="16"/>
        <w:szCs w:val="16"/>
      </w:rPr>
      <w:t xml:space="preserve">/ A.B.U. </w:t>
    </w:r>
    <w:proofErr w:type="spellStart"/>
    <w:r w:rsidR="00FE3BED">
      <w:rPr>
        <w:rFonts w:ascii="AZGCaspariT" w:hAnsi="AZGCaspariT"/>
        <w:sz w:val="16"/>
        <w:szCs w:val="16"/>
      </w:rPr>
      <w:t>Mäkelburg</w:t>
    </w:r>
    <w:proofErr w:type="spellEnd"/>
    <w:r w:rsidR="00FE3BED">
      <w:rPr>
        <w:rFonts w:ascii="AZGCaspariT" w:hAnsi="AZGCaspariT"/>
        <w:sz w:val="16"/>
        <w:szCs w:val="16"/>
      </w:rPr>
      <w:t xml:space="preserve">/ M. Gelderloos </w:t>
    </w:r>
  </w:p>
  <w:p w14:paraId="4A5248C9" w14:textId="77777777" w:rsidR="00FE3BED" w:rsidRPr="006E3F9B" w:rsidRDefault="00FE3BED" w:rsidP="006E3F9B">
    <w:pPr>
      <w:pStyle w:val="Voettekst"/>
      <w:ind w:left="-851" w:right="360" w:firstLine="851"/>
      <w:jc w:val="both"/>
      <w:rPr>
        <w:rFonts w:ascii="Calibri" w:hAnsi="Calibri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0B02" w14:textId="77777777" w:rsidR="00445804" w:rsidRDefault="004458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E225CF" w14:textId="77777777" w:rsidR="00F73D5B" w:rsidRDefault="00F73D5B">
      <w:r>
        <w:separator/>
      </w:r>
    </w:p>
  </w:footnote>
  <w:footnote w:type="continuationSeparator" w:id="0">
    <w:p w14:paraId="14BFBD72" w14:textId="77777777" w:rsidR="00F73D5B" w:rsidRDefault="00F73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482B2" w14:textId="77777777" w:rsidR="00445804" w:rsidRDefault="0044580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A6C9A" w14:textId="77777777" w:rsidR="00FE3BED" w:rsidRPr="006E3F9B" w:rsidRDefault="009479A1" w:rsidP="00202DE4">
    <w:pPr>
      <w:pStyle w:val="Koptekst"/>
      <w:ind w:left="-851"/>
      <w:rPr>
        <w:rFonts w:ascii="AZGCaspariT" w:hAnsi="AZGCaspariT"/>
        <w:b/>
        <w:sz w:val="22"/>
        <w:szCs w:val="22"/>
      </w:rPr>
    </w:pPr>
    <w:r>
      <w:rPr>
        <w:rFonts w:ascii="AZGCaspariT" w:hAnsi="AZGCaspariT"/>
        <w:b/>
        <w:noProof/>
        <w:sz w:val="22"/>
        <w:szCs w:val="22"/>
      </w:rPr>
      <w:object w:dxaOrig="1440" w:dyaOrig="1440" w14:anchorId="15487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2.75pt;margin-top:-13.45pt;width:1in;height:38.9pt;z-index:-251658752;visibility:visible;mso-wrap-edited:f" wrapcoords="-158 0 -158 21308 21600 21308 21600 0 -158 0" o:allowincell="f">
          <v:imagedata r:id="rId1" o:title=""/>
          <w10:wrap type="topAndBottom"/>
        </v:shape>
        <o:OLEObject Type="Embed" ProgID="Word.Picture.8" ShapeID="_x0000_s2049" DrawAspect="Content" ObjectID="_1696231258" r:id="rId2"/>
      </w:object>
    </w:r>
    <w:r w:rsidR="00FE3BED">
      <w:rPr>
        <w:rFonts w:ascii="AZGCaspariT" w:hAnsi="AZGCaspariT"/>
        <w:b/>
        <w:sz w:val="22"/>
        <w:szCs w:val="22"/>
      </w:rPr>
      <w:tab/>
      <w:t xml:space="preserve">               </w:t>
    </w:r>
    <w:r w:rsidR="00FE3BED" w:rsidRPr="006E3F9B">
      <w:rPr>
        <w:rFonts w:ascii="AZGCaspariT" w:hAnsi="AZGCaspariT"/>
        <w:b/>
        <w:sz w:val="22"/>
        <w:szCs w:val="22"/>
      </w:rPr>
      <w:t xml:space="preserve">SOP </w:t>
    </w:r>
    <w:proofErr w:type="spellStart"/>
    <w:r w:rsidR="00D50341">
      <w:rPr>
        <w:rFonts w:ascii="AZGCaspariT" w:hAnsi="AZGCaspariT"/>
        <w:b/>
        <w:sz w:val="22"/>
        <w:szCs w:val="22"/>
      </w:rPr>
      <w:t>in</w:t>
    </w:r>
    <w:r w:rsidR="00FE3BED">
      <w:rPr>
        <w:rFonts w:ascii="AZGCaspariT" w:hAnsi="AZGCaspariT"/>
        <w:b/>
        <w:sz w:val="22"/>
        <w:szCs w:val="22"/>
      </w:rPr>
      <w:t>keur</w:t>
    </w:r>
    <w:r w:rsidR="00D50341">
      <w:rPr>
        <w:rFonts w:ascii="AZGCaspariT" w:hAnsi="AZGCaspariT"/>
        <w:b/>
        <w:sz w:val="22"/>
        <w:szCs w:val="22"/>
      </w:rPr>
      <w:t>e</w:t>
    </w:r>
    <w:r w:rsidR="00FE3BED">
      <w:rPr>
        <w:rFonts w:ascii="AZGCaspariT" w:hAnsi="AZGCaspariT"/>
        <w:b/>
        <w:sz w:val="22"/>
        <w:szCs w:val="22"/>
      </w:rPr>
      <w:t>n</w:t>
    </w:r>
    <w:proofErr w:type="spellEnd"/>
    <w:r w:rsidR="00F524C0">
      <w:rPr>
        <w:rFonts w:ascii="AZGCaspariT" w:hAnsi="AZGCaspariT"/>
        <w:b/>
        <w:sz w:val="22"/>
        <w:szCs w:val="22"/>
      </w:rPr>
      <w:t xml:space="preserve"> </w:t>
    </w:r>
    <w:r w:rsidR="00D50341">
      <w:rPr>
        <w:rFonts w:ascii="AZGCaspariT" w:hAnsi="AZGCaspariT"/>
        <w:b/>
        <w:sz w:val="22"/>
        <w:szCs w:val="22"/>
      </w:rPr>
      <w:t>donor</w:t>
    </w:r>
    <w:r w:rsidR="00FE3BED">
      <w:rPr>
        <w:rFonts w:ascii="AZGCaspariT" w:hAnsi="AZGCaspariT"/>
        <w:b/>
        <w:sz w:val="22"/>
        <w:szCs w:val="22"/>
      </w:rPr>
      <w:t xml:space="preserve"> voor start aferese</w:t>
    </w:r>
    <w:r w:rsidR="00F524C0">
      <w:rPr>
        <w:rFonts w:ascii="AZGCaspariT" w:hAnsi="AZGCaspariT"/>
        <w:b/>
        <w:sz w:val="22"/>
        <w:szCs w:val="22"/>
      </w:rPr>
      <w:t xml:space="preserve"> (allogeen, autoloog, T-cel)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BF937" w14:textId="77777777" w:rsidR="00445804" w:rsidRDefault="0044580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42F6B"/>
    <w:multiLevelType w:val="multilevel"/>
    <w:tmpl w:val="D23E4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059D3"/>
    <w:multiLevelType w:val="hybridMultilevel"/>
    <w:tmpl w:val="70B2C18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F2F22"/>
    <w:multiLevelType w:val="hybridMultilevel"/>
    <w:tmpl w:val="500AE6E0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E63F38"/>
    <w:multiLevelType w:val="hybridMultilevel"/>
    <w:tmpl w:val="23E459D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A23CC1"/>
    <w:multiLevelType w:val="hybridMultilevel"/>
    <w:tmpl w:val="F89613C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E46717F"/>
    <w:multiLevelType w:val="hybridMultilevel"/>
    <w:tmpl w:val="DF1E09A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F0040"/>
    <w:multiLevelType w:val="hybridMultilevel"/>
    <w:tmpl w:val="790EA7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B02D07"/>
    <w:multiLevelType w:val="hybridMultilevel"/>
    <w:tmpl w:val="2C2028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0051ABB"/>
    <w:multiLevelType w:val="hybridMultilevel"/>
    <w:tmpl w:val="4828941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55AA2218"/>
    <w:multiLevelType w:val="hybridMultilevel"/>
    <w:tmpl w:val="69BEFA1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56A96264"/>
    <w:multiLevelType w:val="multilevel"/>
    <w:tmpl w:val="2C2028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B71CC8"/>
    <w:multiLevelType w:val="hybridMultilevel"/>
    <w:tmpl w:val="76BA2352"/>
    <w:lvl w:ilvl="0" w:tplc="493AAC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716F0"/>
    <w:multiLevelType w:val="hybridMultilevel"/>
    <w:tmpl w:val="2F0AD842"/>
    <w:lvl w:ilvl="0" w:tplc="1CDA4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C707E3B"/>
    <w:multiLevelType w:val="hybridMultilevel"/>
    <w:tmpl w:val="D69C9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8719B"/>
    <w:multiLevelType w:val="hybridMultilevel"/>
    <w:tmpl w:val="09DEC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11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A3E"/>
    <w:rsid w:val="00022795"/>
    <w:rsid w:val="00023ED0"/>
    <w:rsid w:val="00032A4E"/>
    <w:rsid w:val="00047A3E"/>
    <w:rsid w:val="00050B99"/>
    <w:rsid w:val="00061031"/>
    <w:rsid w:val="00067875"/>
    <w:rsid w:val="00096BA4"/>
    <w:rsid w:val="000A1CD9"/>
    <w:rsid w:val="000B1774"/>
    <w:rsid w:val="000C47EA"/>
    <w:rsid w:val="000E06E9"/>
    <w:rsid w:val="000F35DE"/>
    <w:rsid w:val="0010228A"/>
    <w:rsid w:val="00104113"/>
    <w:rsid w:val="001114F2"/>
    <w:rsid w:val="00121B37"/>
    <w:rsid w:val="0013010D"/>
    <w:rsid w:val="001332AC"/>
    <w:rsid w:val="00133F44"/>
    <w:rsid w:val="00155318"/>
    <w:rsid w:val="0016137D"/>
    <w:rsid w:val="00192831"/>
    <w:rsid w:val="00197296"/>
    <w:rsid w:val="001A0EE3"/>
    <w:rsid w:val="001A4C1E"/>
    <w:rsid w:val="001B4491"/>
    <w:rsid w:val="001C3C79"/>
    <w:rsid w:val="001C71F6"/>
    <w:rsid w:val="001D56C5"/>
    <w:rsid w:val="001F4DC2"/>
    <w:rsid w:val="00202DE4"/>
    <w:rsid w:val="0020317A"/>
    <w:rsid w:val="002069B0"/>
    <w:rsid w:val="00207535"/>
    <w:rsid w:val="00215D01"/>
    <w:rsid w:val="00233D36"/>
    <w:rsid w:val="00247284"/>
    <w:rsid w:val="00256826"/>
    <w:rsid w:val="00264AF5"/>
    <w:rsid w:val="002660D9"/>
    <w:rsid w:val="00271566"/>
    <w:rsid w:val="00272436"/>
    <w:rsid w:val="00275DCF"/>
    <w:rsid w:val="00276874"/>
    <w:rsid w:val="00290B3D"/>
    <w:rsid w:val="00296959"/>
    <w:rsid w:val="00297129"/>
    <w:rsid w:val="002A7336"/>
    <w:rsid w:val="002B36C2"/>
    <w:rsid w:val="002D5753"/>
    <w:rsid w:val="002E5B23"/>
    <w:rsid w:val="00310EDD"/>
    <w:rsid w:val="003156B7"/>
    <w:rsid w:val="003167E3"/>
    <w:rsid w:val="00332CF0"/>
    <w:rsid w:val="0034172D"/>
    <w:rsid w:val="00344DAF"/>
    <w:rsid w:val="003475C6"/>
    <w:rsid w:val="00354D9F"/>
    <w:rsid w:val="0036557D"/>
    <w:rsid w:val="00367D86"/>
    <w:rsid w:val="003701A8"/>
    <w:rsid w:val="00395E1B"/>
    <w:rsid w:val="003A185B"/>
    <w:rsid w:val="003A636E"/>
    <w:rsid w:val="003A7563"/>
    <w:rsid w:val="003C04FF"/>
    <w:rsid w:val="003C3838"/>
    <w:rsid w:val="003D7A3D"/>
    <w:rsid w:val="003E3866"/>
    <w:rsid w:val="003E4DFC"/>
    <w:rsid w:val="004027E2"/>
    <w:rsid w:val="00406740"/>
    <w:rsid w:val="00445804"/>
    <w:rsid w:val="004516E3"/>
    <w:rsid w:val="0046162D"/>
    <w:rsid w:val="00463F5E"/>
    <w:rsid w:val="004726BD"/>
    <w:rsid w:val="004753F9"/>
    <w:rsid w:val="004757BC"/>
    <w:rsid w:val="00483007"/>
    <w:rsid w:val="00486D19"/>
    <w:rsid w:val="00491F58"/>
    <w:rsid w:val="00492893"/>
    <w:rsid w:val="004943EB"/>
    <w:rsid w:val="00496B45"/>
    <w:rsid w:val="004A1884"/>
    <w:rsid w:val="004B4C7F"/>
    <w:rsid w:val="004B668B"/>
    <w:rsid w:val="004B74B8"/>
    <w:rsid w:val="004C1260"/>
    <w:rsid w:val="004C6C0B"/>
    <w:rsid w:val="004C7F13"/>
    <w:rsid w:val="004E1E31"/>
    <w:rsid w:val="004E2BDE"/>
    <w:rsid w:val="004F5C69"/>
    <w:rsid w:val="00501671"/>
    <w:rsid w:val="00504552"/>
    <w:rsid w:val="00506707"/>
    <w:rsid w:val="00506DD1"/>
    <w:rsid w:val="00515684"/>
    <w:rsid w:val="00534431"/>
    <w:rsid w:val="00542A2D"/>
    <w:rsid w:val="00550F26"/>
    <w:rsid w:val="0057144D"/>
    <w:rsid w:val="00575E37"/>
    <w:rsid w:val="00577285"/>
    <w:rsid w:val="005A22E8"/>
    <w:rsid w:val="005D2677"/>
    <w:rsid w:val="005D468D"/>
    <w:rsid w:val="005D50BC"/>
    <w:rsid w:val="006121AF"/>
    <w:rsid w:val="00617D95"/>
    <w:rsid w:val="0062542C"/>
    <w:rsid w:val="00637AD5"/>
    <w:rsid w:val="00651E85"/>
    <w:rsid w:val="006638BD"/>
    <w:rsid w:val="00664DEF"/>
    <w:rsid w:val="00665122"/>
    <w:rsid w:val="0067146F"/>
    <w:rsid w:val="00684E4F"/>
    <w:rsid w:val="00692315"/>
    <w:rsid w:val="00694538"/>
    <w:rsid w:val="006972CF"/>
    <w:rsid w:val="006A487D"/>
    <w:rsid w:val="006B10C1"/>
    <w:rsid w:val="006B6B29"/>
    <w:rsid w:val="006C1475"/>
    <w:rsid w:val="006E3F9B"/>
    <w:rsid w:val="006E6B38"/>
    <w:rsid w:val="006E7035"/>
    <w:rsid w:val="00701D16"/>
    <w:rsid w:val="00702DC6"/>
    <w:rsid w:val="007234CA"/>
    <w:rsid w:val="00731921"/>
    <w:rsid w:val="00735C28"/>
    <w:rsid w:val="00753665"/>
    <w:rsid w:val="007706C1"/>
    <w:rsid w:val="00785AF0"/>
    <w:rsid w:val="007B3472"/>
    <w:rsid w:val="007B7E8B"/>
    <w:rsid w:val="007D2D88"/>
    <w:rsid w:val="007E6B55"/>
    <w:rsid w:val="008307BF"/>
    <w:rsid w:val="00834124"/>
    <w:rsid w:val="00834832"/>
    <w:rsid w:val="00854AE0"/>
    <w:rsid w:val="00860E0D"/>
    <w:rsid w:val="00863015"/>
    <w:rsid w:val="008806B7"/>
    <w:rsid w:val="00880F94"/>
    <w:rsid w:val="00881CA6"/>
    <w:rsid w:val="0088425A"/>
    <w:rsid w:val="00891451"/>
    <w:rsid w:val="008C1A2F"/>
    <w:rsid w:val="008C520C"/>
    <w:rsid w:val="008E31B1"/>
    <w:rsid w:val="008E3F48"/>
    <w:rsid w:val="00902587"/>
    <w:rsid w:val="00904EA6"/>
    <w:rsid w:val="00910665"/>
    <w:rsid w:val="00927AB6"/>
    <w:rsid w:val="009479A1"/>
    <w:rsid w:val="00950AFF"/>
    <w:rsid w:val="00964E53"/>
    <w:rsid w:val="00967A5A"/>
    <w:rsid w:val="00983AED"/>
    <w:rsid w:val="00986388"/>
    <w:rsid w:val="0099717E"/>
    <w:rsid w:val="009C5154"/>
    <w:rsid w:val="009F3140"/>
    <w:rsid w:val="00A07B0A"/>
    <w:rsid w:val="00A1098F"/>
    <w:rsid w:val="00A11324"/>
    <w:rsid w:val="00A20483"/>
    <w:rsid w:val="00A33F5A"/>
    <w:rsid w:val="00A351CD"/>
    <w:rsid w:val="00A423AE"/>
    <w:rsid w:val="00A46528"/>
    <w:rsid w:val="00A47D81"/>
    <w:rsid w:val="00A61CE8"/>
    <w:rsid w:val="00A6564A"/>
    <w:rsid w:val="00A735D7"/>
    <w:rsid w:val="00A86A4F"/>
    <w:rsid w:val="00A90B0F"/>
    <w:rsid w:val="00AA01E9"/>
    <w:rsid w:val="00AA57B5"/>
    <w:rsid w:val="00AB2C38"/>
    <w:rsid w:val="00AB30C9"/>
    <w:rsid w:val="00AB3BBF"/>
    <w:rsid w:val="00AB5D77"/>
    <w:rsid w:val="00AC387E"/>
    <w:rsid w:val="00AF1ADF"/>
    <w:rsid w:val="00AF6A9B"/>
    <w:rsid w:val="00B12A4F"/>
    <w:rsid w:val="00B169E8"/>
    <w:rsid w:val="00B2044D"/>
    <w:rsid w:val="00B30717"/>
    <w:rsid w:val="00B309CE"/>
    <w:rsid w:val="00B3189B"/>
    <w:rsid w:val="00B322ED"/>
    <w:rsid w:val="00B40C68"/>
    <w:rsid w:val="00B46EF2"/>
    <w:rsid w:val="00B52A6C"/>
    <w:rsid w:val="00B558D9"/>
    <w:rsid w:val="00B6169E"/>
    <w:rsid w:val="00B61D62"/>
    <w:rsid w:val="00B82FD8"/>
    <w:rsid w:val="00B92B02"/>
    <w:rsid w:val="00BB0233"/>
    <w:rsid w:val="00BC6AE7"/>
    <w:rsid w:val="00BD2444"/>
    <w:rsid w:val="00BE4880"/>
    <w:rsid w:val="00C07E63"/>
    <w:rsid w:val="00C117AE"/>
    <w:rsid w:val="00C33308"/>
    <w:rsid w:val="00C42740"/>
    <w:rsid w:val="00C4690C"/>
    <w:rsid w:val="00C46D4F"/>
    <w:rsid w:val="00C62A1F"/>
    <w:rsid w:val="00C762B1"/>
    <w:rsid w:val="00C96C8F"/>
    <w:rsid w:val="00CB2771"/>
    <w:rsid w:val="00CE00FE"/>
    <w:rsid w:val="00CE28CE"/>
    <w:rsid w:val="00CF6D46"/>
    <w:rsid w:val="00D0193E"/>
    <w:rsid w:val="00D10894"/>
    <w:rsid w:val="00D117BD"/>
    <w:rsid w:val="00D40844"/>
    <w:rsid w:val="00D460F7"/>
    <w:rsid w:val="00D50341"/>
    <w:rsid w:val="00D62FF2"/>
    <w:rsid w:val="00D7481D"/>
    <w:rsid w:val="00DA52C6"/>
    <w:rsid w:val="00DA6202"/>
    <w:rsid w:val="00DB0298"/>
    <w:rsid w:val="00DC495C"/>
    <w:rsid w:val="00DD05B4"/>
    <w:rsid w:val="00DD14AF"/>
    <w:rsid w:val="00DD1659"/>
    <w:rsid w:val="00DE2863"/>
    <w:rsid w:val="00DF55FE"/>
    <w:rsid w:val="00DF6D2A"/>
    <w:rsid w:val="00E046DA"/>
    <w:rsid w:val="00E077E3"/>
    <w:rsid w:val="00E1489F"/>
    <w:rsid w:val="00E20A76"/>
    <w:rsid w:val="00E2613B"/>
    <w:rsid w:val="00E26B4B"/>
    <w:rsid w:val="00E3547E"/>
    <w:rsid w:val="00E4567E"/>
    <w:rsid w:val="00E6460C"/>
    <w:rsid w:val="00E818E8"/>
    <w:rsid w:val="00E937FA"/>
    <w:rsid w:val="00EB58B5"/>
    <w:rsid w:val="00EC6F15"/>
    <w:rsid w:val="00ED0646"/>
    <w:rsid w:val="00ED2A37"/>
    <w:rsid w:val="00ED503D"/>
    <w:rsid w:val="00ED78E6"/>
    <w:rsid w:val="00EE1394"/>
    <w:rsid w:val="00EE2A71"/>
    <w:rsid w:val="00EE2F4F"/>
    <w:rsid w:val="00EF3D09"/>
    <w:rsid w:val="00F13C92"/>
    <w:rsid w:val="00F22A56"/>
    <w:rsid w:val="00F24E36"/>
    <w:rsid w:val="00F36101"/>
    <w:rsid w:val="00F4266C"/>
    <w:rsid w:val="00F43F49"/>
    <w:rsid w:val="00F45B71"/>
    <w:rsid w:val="00F524C0"/>
    <w:rsid w:val="00F62E83"/>
    <w:rsid w:val="00F6737A"/>
    <w:rsid w:val="00F73D5B"/>
    <w:rsid w:val="00F84F9F"/>
    <w:rsid w:val="00F91A24"/>
    <w:rsid w:val="00FB73A8"/>
    <w:rsid w:val="00FD31D3"/>
    <w:rsid w:val="00FD3512"/>
    <w:rsid w:val="00FE173E"/>
    <w:rsid w:val="00FE36D7"/>
    <w:rsid w:val="00FE3BED"/>
    <w:rsid w:val="00FE5191"/>
    <w:rsid w:val="00F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8D9E8F"/>
  <w15:docId w15:val="{84FA564F-0E5C-487F-8EE4-AB6C3C9B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2B02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047A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A33F5A"/>
    <w:rPr>
      <w:rFonts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047A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locked/>
    <w:rsid w:val="00A33F5A"/>
    <w:rPr>
      <w:rFonts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99"/>
    <w:rsid w:val="00047A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rsid w:val="00577285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rsid w:val="00CB277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locked/>
    <w:rsid w:val="00CB2771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basedOn w:val="Standaardalinea-lettertype"/>
    <w:uiPriority w:val="99"/>
    <w:rsid w:val="00501671"/>
    <w:rPr>
      <w:rFonts w:cs="Times New Roman"/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rsid w:val="009C5154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9C515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locked/>
    <w:rsid w:val="009C5154"/>
    <w:rPr>
      <w:rFonts w:cs="Times New Roman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9C515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locked/>
    <w:rsid w:val="009C5154"/>
    <w:rPr>
      <w:rFonts w:cs="Times New Roman"/>
      <w:b/>
      <w:bCs/>
      <w:snapToGrid w:val="0"/>
    </w:rPr>
  </w:style>
  <w:style w:type="paragraph" w:customStyle="1" w:styleId="Default">
    <w:name w:val="Default"/>
    <w:uiPriority w:val="99"/>
    <w:rsid w:val="008630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rsid w:val="003475C6"/>
    <w:pPr>
      <w:spacing w:before="100" w:beforeAutospacing="1" w:after="100" w:afterAutospacing="1"/>
    </w:pPr>
    <w:rPr>
      <w:lang w:val="en-US" w:eastAsia="en-US"/>
    </w:rPr>
  </w:style>
  <w:style w:type="paragraph" w:styleId="Lijstalinea">
    <w:name w:val="List Paragraph"/>
    <w:basedOn w:val="Standaard"/>
    <w:uiPriority w:val="34"/>
    <w:qFormat/>
    <w:rsid w:val="00E046DA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395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FB94B9FBC814E8E5216E08F1635A9" ma:contentTypeVersion="0" ma:contentTypeDescription="Een nieuw document maken." ma:contentTypeScope="" ma:versionID="b9125427c355b7f6c75cf8fa9fc5932e">
  <xsd:schema xmlns:xsd="http://www.w3.org/2001/XMLSchema" xmlns:p="http://schemas.microsoft.com/office/2006/metadata/properties" targetNamespace="http://schemas.microsoft.com/office/2006/metadata/properties" ma:root="true" ma:fieldsID="b118b0825d757084c8d1e1ffd33f200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1ED7F11-6082-46A8-BDCD-7FBBD254AB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A8904C-C396-4B81-907F-776D14E181E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06BA44E-2801-4F11-931F-25072786676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DAD2FC-449F-4C94-8B2C-AC59E5329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1738</Words>
  <Characters>9565</Characters>
  <Application>Microsoft Office Word</Application>
  <DocSecurity>4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ONBEHEERD KOPIE GELDIG DOCUMENT</vt:lpstr>
    </vt:vector>
  </TitlesOfParts>
  <Company>Universitair Medisch Centrum Groningen</Company>
  <LinksUpToDate>false</LinksUpToDate>
  <CharactersWithSpaces>11281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ONBEHEERD KOPIE GELDIG DOCUMENT</dc:title>
  <dc:creator>MO.GS</dc:creator>
  <cp:lastModifiedBy>Haan, SJ</cp:lastModifiedBy>
  <cp:revision>2</cp:revision>
  <cp:lastPrinted>2017-06-02T07:05:00Z</cp:lastPrinted>
  <dcterms:created xsi:type="dcterms:W3CDTF">2021-10-20T08:35:00Z</dcterms:created>
  <dcterms:modified xsi:type="dcterms:W3CDTF">2021-10-20T08:35:00Z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0x01010053CFB94B9FBC814E8E5216E08F1635A9</vt:lpwstr>
  </property>
</Properties>
</file>